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CE659C">
        <w:rPr>
          <w:rFonts w:asciiTheme="minorHAnsi" w:hAnsiTheme="minorHAnsi" w:cstheme="minorHAnsi"/>
          <w:b/>
          <w:color w:val="000000"/>
          <w:sz w:val="22"/>
          <w:szCs w:val="22"/>
        </w:rPr>
        <w:t xml:space="preserve"> – część III.</w:t>
      </w:r>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0"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0"/>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86486D">
        <w:rPr>
          <w:rFonts w:asciiTheme="minorHAnsi" w:hAnsiTheme="minorHAnsi" w:cstheme="minorHAnsi"/>
          <w:b/>
          <w:bCs/>
          <w:color w:val="000000"/>
          <w:sz w:val="22"/>
          <w:szCs w:val="22"/>
        </w:rPr>
        <w:t>24</w:t>
      </w:r>
      <w:bookmarkStart w:id="1" w:name="_GoBack"/>
      <w:bookmarkEnd w:id="1"/>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86486D">
      <w:rPr>
        <w:rStyle w:val="Numerstrony"/>
        <w:rFonts w:asciiTheme="minorHAnsi" w:hAnsiTheme="minorHAnsi" w:cstheme="minorHAnsi"/>
        <w:noProof/>
      </w:rPr>
      <w:t>6</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86486D">
      <w:rPr>
        <w:rFonts w:ascii="Calibri" w:hAnsi="Calibri"/>
        <w:b/>
        <w:sz w:val="22"/>
        <w:szCs w:val="22"/>
      </w:rPr>
      <w:t>1144</w:t>
    </w:r>
    <w:r w:rsidR="00CE659C" w:rsidRPr="00CE659C">
      <w:rPr>
        <w:rFonts w:ascii="Calibri" w:hAnsi="Calibri"/>
        <w:b/>
        <w:sz w:val="22"/>
        <w:szCs w:val="22"/>
      </w:rPr>
      <w:t>/PN-</w:t>
    </w:r>
    <w:r w:rsidR="0086486D">
      <w:rPr>
        <w:rFonts w:ascii="Calibri" w:hAnsi="Calibri"/>
        <w:b/>
        <w:sz w:val="22"/>
        <w:szCs w:val="22"/>
      </w:rPr>
      <w:t>125</w:t>
    </w:r>
    <w:r w:rsidR="00CE659C" w:rsidRPr="00CE659C">
      <w:rPr>
        <w:rFonts w:ascii="Calibri" w:hAnsi="Calibri"/>
        <w:b/>
        <w:sz w:val="22"/>
        <w:szCs w:val="22"/>
      </w:rPr>
      <w:t>/2025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486D"/>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D3AC3"/>
    <w:rsid w:val="00CE659C"/>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8925EAF"/>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3555</Words>
  <Characters>21330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8</cp:revision>
  <dcterms:created xsi:type="dcterms:W3CDTF">2025-10-28T10:47:00Z</dcterms:created>
  <dcterms:modified xsi:type="dcterms:W3CDTF">2025-12-04T09:02:00Z</dcterms:modified>
</cp:coreProperties>
</file>