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AC5BBE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AC5BBE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AC5BBE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AC5BBE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AC5BBE">
        <w:rPr>
          <w:rFonts w:asciiTheme="minorHAnsi" w:hAnsiTheme="minorHAnsi"/>
          <w:sz w:val="22"/>
          <w:szCs w:val="22"/>
        </w:rPr>
        <w:t>w specyfikacji</w:t>
      </w:r>
      <w:r w:rsidRPr="00AC5BBE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AC5BBE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AC5BBE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AC5BBE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z przewidzianej przez zamawiającego procedury sanacyjnej </w:t>
      </w:r>
      <w:r w:rsidRPr="006C74E2">
        <w:rPr>
          <w:rFonts w:asciiTheme="minorHAnsi" w:hAnsiTheme="minorHAnsi"/>
          <w:sz w:val="22"/>
          <w:szCs w:val="22"/>
        </w:rPr>
        <w:t>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AC5BBE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6E0428" w:rsidP="00AC5BBE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AC5BBE" w:rsidRPr="00AC5BBE">
        <w:rPr>
          <w:rFonts w:ascii="Calibri" w:eastAsia="Calibri" w:hAnsi="Calibri" w:cs="Calibri"/>
          <w:sz w:val="22"/>
          <w:szCs w:val="22"/>
          <w:lang w:eastAsia="en-US"/>
        </w:rPr>
        <w:t>„Dostawa agregatu pompowego przewoźnego zasilanego silnikiem spalinowym o wydajności maksymalnej do 1000 m3·h-1”.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C5BBE">
      <w:rPr>
        <w:rFonts w:asciiTheme="minorHAnsi" w:hAnsiTheme="minorHAnsi"/>
      </w:rPr>
      <w:t>2</w:t>
    </w:r>
  </w:p>
  <w:p w:rsidR="003C51AD" w:rsidRDefault="00AC5BBE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AC5BBE">
      <w:rPr>
        <w:rFonts w:asciiTheme="minorHAnsi" w:hAnsiTheme="minorHAnsi" w:cs="Calibri"/>
        <w:sz w:val="22"/>
        <w:szCs w:val="22"/>
      </w:rPr>
      <w:t xml:space="preserve">KKU.261.110.2025 </w:t>
    </w:r>
    <w:r w:rsidRPr="00AC5BBE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NR POSTĘPOWANIA: 802/PN-98/2025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C5BBE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E430A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377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2025-09-04T10:50:00Z</dcterms:modified>
</cp:coreProperties>
</file>