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28" w:rsidRPr="006C74E2" w:rsidRDefault="006E0428" w:rsidP="006D0EA2">
      <w:pPr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6D0EA2">
        <w:rPr>
          <w:rFonts w:asciiTheme="minorHAnsi" w:hAnsiTheme="minorHAnsi"/>
          <w:sz w:val="22"/>
          <w:szCs w:val="22"/>
        </w:rPr>
        <w:t xml:space="preserve">wymogami specyfikacji warunków zamówienia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6D0EA2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6D0EA2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6D0EA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D0EA2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6D0EA2">
        <w:rPr>
          <w:rFonts w:asciiTheme="minorHAnsi" w:hAnsiTheme="minorHAnsi"/>
          <w:sz w:val="22"/>
          <w:szCs w:val="22"/>
        </w:rPr>
        <w:t>w specyfikacji</w:t>
      </w:r>
      <w:r w:rsidRPr="006D0EA2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6D0EA2">
        <w:rPr>
          <w:rFonts w:asciiTheme="minorHAnsi" w:hAnsiTheme="minorHAnsi"/>
          <w:sz w:val="22"/>
          <w:szCs w:val="22"/>
        </w:rPr>
        <w:t>w punkcie ………….. specyfikacji warunków zamówienia i korzystając z przewidzianej przez zama</w:t>
      </w:r>
      <w:r w:rsidRPr="006C74E2">
        <w:rPr>
          <w:rFonts w:asciiTheme="minorHAnsi" w:hAnsiTheme="minorHAnsi"/>
          <w:sz w:val="22"/>
          <w:szCs w:val="22"/>
        </w:rPr>
        <w:t>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D0EA2" w:rsidRPr="006C74E2" w:rsidRDefault="006E0428" w:rsidP="006D0EA2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6D0EA2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6D0EA2">
        <w:rPr>
          <w:rFonts w:asciiTheme="minorHAnsi" w:hAnsiTheme="minorHAnsi"/>
          <w:sz w:val="22"/>
          <w:szCs w:val="22"/>
        </w:rPr>
        <w:t>w S</w:t>
      </w:r>
      <w:r w:rsidR="00C64274" w:rsidRPr="006D0EA2">
        <w:rPr>
          <w:rFonts w:asciiTheme="minorHAnsi" w:hAnsiTheme="minorHAnsi"/>
          <w:sz w:val="22"/>
          <w:szCs w:val="22"/>
        </w:rPr>
        <w:t>WZ</w:t>
      </w:r>
      <w:r w:rsidRPr="006D0EA2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</w:t>
      </w:r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D0EA2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D0EA2" w:rsidRDefault="006D0EA2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6D0EA2" w:rsidRPr="006D0EA2">
        <w:rPr>
          <w:rFonts w:ascii="Calibri" w:eastAsia="Calibri" w:hAnsi="Calibri" w:cs="Calibri"/>
          <w:sz w:val="22"/>
          <w:szCs w:val="22"/>
          <w:lang w:eastAsia="en-US"/>
        </w:rPr>
        <w:t>„Sukcesywne dostawy urządzeń przeznaczonych do sterowania i wizualizacji procesów technologicznych stosowanych w Wodociągach Miasta Krakowa S.A.”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  <w:bookmarkStart w:id="0" w:name="_GoBack"/>
    </w:p>
    <w:bookmarkEnd w:id="0"/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D0EA2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6D0EA2" w:rsidRPr="006D0EA2">
      <w:t xml:space="preserve"> </w:t>
    </w:r>
    <w:r w:rsidR="006D0EA2" w:rsidRPr="006D0EA2">
      <w:rPr>
        <w:rFonts w:asciiTheme="minorHAnsi" w:hAnsiTheme="minorHAnsi" w:cs="Calibri"/>
        <w:sz w:val="22"/>
        <w:szCs w:val="22"/>
      </w:rPr>
      <w:t xml:space="preserve">261.53.2025 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6D0EA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6D0EA2" w:rsidRPr="006D0EA2">
      <w:rPr>
        <w:rFonts w:asciiTheme="minorHAnsi" w:hAnsiTheme="minorHAnsi"/>
      </w:rPr>
      <w:t>417/PN-50/2025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D0EA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FE454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500</Words>
  <Characters>6852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2020-10-09T08:23:00Z</dcterms:created>
  <dcterms:modified xsi:type="dcterms:W3CDTF">2025-05-08T09:03:00Z</dcterms:modified>
</cp:coreProperties>
</file>