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C7242E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C7242E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C7242E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C7242E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C7242E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albo</w:t>
      </w:r>
    </w:p>
    <w:p w:rsidR="00E6638A" w:rsidRPr="00C7242E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 xml:space="preserve">Podpisy osób upoważnionych </w:t>
      </w:r>
      <w:r w:rsidRPr="00D345D1">
        <w:rPr>
          <w:rFonts w:asciiTheme="minorHAnsi" w:hAnsiTheme="minorHAnsi"/>
          <w:sz w:val="22"/>
          <w:szCs w:val="22"/>
        </w:rPr>
        <w:t>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5B33AD" w:rsidRPr="00D345D1" w:rsidRDefault="006E0428" w:rsidP="005B33AD">
      <w:pPr>
        <w:pStyle w:val="Nagwek3"/>
        <w:spacing w:before="0" w:after="0"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bookmarkStart w:id="0" w:name="_GoBack"/>
      <w:bookmarkEnd w:id="0"/>
      <w:r w:rsidR="005B33AD" w:rsidRPr="00D345D1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C7242E" w:rsidRDefault="006E0428" w:rsidP="00C7242E">
      <w:pPr>
        <w:pStyle w:val="Nagwek3"/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C7242E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 xml:space="preserve">Wykaz </w:t>
      </w:r>
      <w:r w:rsidR="00C64573" w:rsidRPr="00C7242E">
        <w:rPr>
          <w:rFonts w:asciiTheme="minorHAnsi" w:hAnsiTheme="minorHAnsi"/>
          <w:sz w:val="22"/>
          <w:szCs w:val="22"/>
        </w:rPr>
        <w:t xml:space="preserve">głównych </w:t>
      </w:r>
      <w:r w:rsidRPr="00C7242E">
        <w:rPr>
          <w:rFonts w:asciiTheme="minorHAnsi" w:hAnsiTheme="minorHAnsi"/>
          <w:sz w:val="22"/>
          <w:szCs w:val="22"/>
        </w:rPr>
        <w:t>usług 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C7242E">
        <w:rPr>
          <w:rFonts w:asciiTheme="minorHAnsi" w:hAnsiTheme="minorHAnsi"/>
          <w:sz w:val="22"/>
          <w:szCs w:val="22"/>
        </w:rPr>
        <w:t>tj.</w:t>
      </w:r>
      <w:r w:rsidRPr="00C7242E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C7242E" w:rsidRPr="00C7242E">
        <w:rPr>
          <w:rFonts w:asciiTheme="minorHAnsi" w:hAnsiTheme="minorHAnsi"/>
          <w:sz w:val="22"/>
          <w:szCs w:val="22"/>
        </w:rPr>
        <w:t>2022</w:t>
      </w:r>
      <w:r w:rsidRPr="00C7242E">
        <w:rPr>
          <w:rFonts w:asciiTheme="minorHAnsi" w:hAnsiTheme="minorHAnsi"/>
          <w:sz w:val="22"/>
          <w:szCs w:val="22"/>
        </w:rPr>
        <w:t> </w:t>
      </w:r>
      <w:r w:rsidR="00C64573" w:rsidRPr="00C7242E">
        <w:rPr>
          <w:rFonts w:asciiTheme="minorHAnsi" w:hAnsiTheme="minorHAnsi"/>
          <w:sz w:val="22"/>
          <w:szCs w:val="22"/>
        </w:rPr>
        <w:t>r., a </w:t>
      </w:r>
      <w:r w:rsidRPr="00C7242E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C7242E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771E59" w:rsidRPr="00771E59">
        <w:rPr>
          <w:rFonts w:ascii="Calibri" w:eastAsia="Calibri" w:hAnsi="Calibri" w:cs="Calibri"/>
          <w:sz w:val="22"/>
          <w:szCs w:val="22"/>
          <w:lang w:eastAsia="en-US"/>
        </w:rPr>
        <w:t>„Czyszczenie przełazowego kanału ogólnospławnego DN3270/4500 w ulicach Retoryka, Powiśle, Wenecja, al. Adama Mickiewicza w Krakowie.”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B33AD">
      <w:rPr>
        <w:rFonts w:asciiTheme="minorHAnsi" w:hAnsiTheme="minorHAnsi"/>
      </w:rPr>
      <w:t>4</w:t>
    </w:r>
  </w:p>
  <w:p w:rsidR="003479E5" w:rsidRDefault="003479E5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5B33AD">
      <w:rPr>
        <w:rFonts w:asciiTheme="minorHAnsi" w:hAnsiTheme="minorHAnsi" w:cs="Calibri"/>
        <w:sz w:val="22"/>
        <w:szCs w:val="22"/>
      </w:rPr>
      <w:t>KKU.</w:t>
    </w:r>
    <w:r w:rsidR="005B33AD" w:rsidRPr="005B33AD">
      <w:rPr>
        <w:rFonts w:asciiTheme="minorHAnsi" w:hAnsiTheme="minorHAnsi" w:cs="Calibri"/>
        <w:sz w:val="22"/>
        <w:szCs w:val="22"/>
      </w:rPr>
      <w:t>261.70.2025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EB715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EB7158">
      <w:rPr>
        <w:rFonts w:asciiTheme="minorHAnsi" w:hAnsiTheme="minorHAnsi"/>
      </w:rPr>
      <w:t>535/PN-65/2025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B33AD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71E59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7242E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B7158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8334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506</Words>
  <Characters>7087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13</cp:revision>
  <cp:lastPrinted>2002-11-22T16:45:00Z</cp:lastPrinted>
  <dcterms:created xsi:type="dcterms:W3CDTF">2020-10-09T10:57:00Z</dcterms:created>
  <dcterms:modified xsi:type="dcterms:W3CDTF">2025-06-13T08:22:00Z</dcterms:modified>
</cp:coreProperties>
</file>