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A66BD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A66BDE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A66BD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66BD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66BD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66BDE">
        <w:rPr>
          <w:rFonts w:asciiTheme="minorHAnsi" w:hAnsiTheme="minorHAnsi"/>
          <w:sz w:val="22"/>
          <w:szCs w:val="22"/>
        </w:rPr>
        <w:t>w specyfikacji</w:t>
      </w:r>
      <w:r w:rsidRPr="00A66BDE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A66BDE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>albo</w:t>
      </w:r>
    </w:p>
    <w:p w:rsidR="00E6638A" w:rsidRPr="00A66BD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A66BDE" w:rsidRPr="006C74E2" w:rsidRDefault="006E0428" w:rsidP="00A66BDE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A66BDE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66BDE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66BDE">
        <w:rPr>
          <w:rFonts w:asciiTheme="minorHAnsi" w:hAnsiTheme="minorHAnsi"/>
          <w:sz w:val="22"/>
          <w:szCs w:val="22"/>
        </w:rPr>
        <w:t xml:space="preserve">Wykaz </w:t>
      </w:r>
      <w:r w:rsidR="00C64573" w:rsidRPr="00A66BDE">
        <w:rPr>
          <w:rFonts w:asciiTheme="minorHAnsi" w:hAnsiTheme="minorHAnsi"/>
          <w:sz w:val="22"/>
          <w:szCs w:val="22"/>
        </w:rPr>
        <w:t xml:space="preserve">głównych </w:t>
      </w:r>
      <w:r w:rsidR="00892801" w:rsidRPr="00A66BDE">
        <w:rPr>
          <w:rFonts w:asciiTheme="minorHAnsi" w:hAnsiTheme="minorHAnsi"/>
          <w:sz w:val="22"/>
          <w:szCs w:val="22"/>
        </w:rPr>
        <w:t>dostaw</w:t>
      </w:r>
      <w:r w:rsidRPr="00A66BDE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66BDE">
        <w:rPr>
          <w:rFonts w:asciiTheme="minorHAnsi" w:hAnsiTheme="minorHAnsi"/>
          <w:sz w:val="22"/>
          <w:szCs w:val="22"/>
        </w:rPr>
        <w:t>WZ</w:t>
      </w:r>
      <w:r w:rsidRPr="00A66BDE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A66BDE">
        <w:rPr>
          <w:rFonts w:asciiTheme="minorHAnsi" w:hAnsiTheme="minorHAnsi"/>
          <w:sz w:val="22"/>
          <w:szCs w:val="22"/>
        </w:rPr>
        <w:t>tj</w:t>
      </w:r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A66BDE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64145E" w:rsidRPr="000229AC">
        <w:rPr>
          <w:rFonts w:ascii="Calibri" w:hAnsi="Calibri"/>
          <w:b/>
          <w:sz w:val="22"/>
          <w:szCs w:val="22"/>
        </w:rPr>
        <w:t>„</w:t>
      </w:r>
      <w:r w:rsidR="0064145E" w:rsidRPr="000229AC">
        <w:rPr>
          <w:rFonts w:ascii="Calibri" w:hAnsi="Calibri"/>
          <w:b/>
          <w:bCs/>
          <w:sz w:val="22"/>
          <w:szCs w:val="22"/>
        </w:rPr>
        <w:t>Sukcesywna dostawa reagentów  do lokalnych oczyszczalni ścieków</w:t>
      </w:r>
      <w:r w:rsidR="0064145E">
        <w:rPr>
          <w:rFonts w:ascii="Calibri" w:hAnsi="Calibri"/>
          <w:b/>
          <w:bCs/>
          <w:sz w:val="22"/>
          <w:szCs w:val="22"/>
        </w:rPr>
        <w:t>”</w:t>
      </w:r>
      <w:r w:rsidR="0064145E">
        <w:rPr>
          <w:rFonts w:ascii="Calibri" w:hAnsi="Calibri"/>
          <w:b/>
          <w:bCs/>
          <w:sz w:val="22"/>
          <w:szCs w:val="22"/>
        </w:rPr>
        <w:t>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</w:t>
      </w:r>
      <w:bookmarkStart w:id="1" w:name="_GoBack"/>
      <w:bookmarkEnd w:id="1"/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64145E" w:rsidRPr="0064145E">
      <w:rPr>
        <w:rFonts w:ascii="Calibri" w:hAnsi="Calibri"/>
        <w:sz w:val="22"/>
        <w:szCs w:val="22"/>
      </w:rPr>
      <w:t>929/PN-86/2022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4145E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66BDE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6780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2002-11-22T16:45:00Z</cp:lastPrinted>
  <dcterms:created xsi:type="dcterms:W3CDTF">2020-10-09T08:23:00Z</dcterms:created>
  <dcterms:modified xsi:type="dcterms:W3CDTF">2022-11-08T09:56:00Z</dcterms:modified>
</cp:coreProperties>
</file>