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Pr="004349BC" w:rsidRDefault="004349BC"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4349BC">
      <w:pPr>
        <w:pStyle w:val="Tekstpodstawowywcity"/>
        <w:numPr>
          <w:ilvl w:val="0"/>
          <w:numId w:val="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4349BC">
      <w:pPr>
        <w:pStyle w:val="Tekstpodstawowywcity"/>
        <w:numPr>
          <w:ilvl w:val="0"/>
          <w:numId w:val="6"/>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349BC">
        <w:rPr>
          <w:rFonts w:ascii="Calibri" w:hAnsi="Calibri"/>
          <w:b/>
          <w:bCs/>
          <w:sz w:val="22"/>
          <w:szCs w:val="22"/>
        </w:rPr>
        <w:t>Dostawa sprzętu elektronicznego dla Wodociągów Miasta Krakowa S.A. – Część I</w:t>
      </w:r>
      <w:r w:rsidR="00865DA7">
        <w:rPr>
          <w:rFonts w:ascii="Calibri" w:hAnsi="Calibri"/>
          <w:b/>
          <w:bCs/>
          <w:sz w:val="22"/>
          <w:szCs w:val="22"/>
        </w:rPr>
        <w:t>V</w:t>
      </w:r>
      <w:r w:rsidR="004349BC">
        <w:rPr>
          <w:rFonts w:ascii="Calibri" w:hAnsi="Calibri"/>
          <w:b/>
          <w:bCs/>
          <w:sz w:val="22"/>
          <w:szCs w:val="22"/>
        </w:rPr>
        <w:t xml:space="preserve"> – dostawa </w:t>
      </w:r>
      <w:r w:rsidR="00865DA7">
        <w:rPr>
          <w:rFonts w:ascii="Calibri" w:hAnsi="Calibri"/>
          <w:b/>
          <w:bCs/>
          <w:sz w:val="22"/>
          <w:szCs w:val="22"/>
        </w:rPr>
        <w:t>1 szt. komputera</w:t>
      </w:r>
      <w:r w:rsidR="008B3080" w:rsidRPr="004349BC">
        <w:rPr>
          <w:rFonts w:asciiTheme="minorHAnsi" w:hAnsiTheme="minorHAnsi" w:cstheme="minorHAnsi"/>
          <w:b/>
          <w:bCs/>
          <w:sz w:val="22"/>
          <w:szCs w:val="22"/>
        </w:rPr>
        <w:t>"</w:t>
      </w:r>
      <w:r w:rsidR="00D423D1" w:rsidRPr="004349BC">
        <w:rPr>
          <w:rFonts w:asciiTheme="minorHAnsi" w:hAnsiTheme="minorHAnsi" w:cstheme="minorHAnsi"/>
          <w:bCs/>
          <w:sz w:val="22"/>
          <w:szCs w:val="22"/>
        </w:rPr>
        <w:t xml:space="preserve">, którą Zamawiający powierza, </w:t>
      </w:r>
      <w:r w:rsidR="00865DA7">
        <w:rPr>
          <w:rFonts w:asciiTheme="minorHAnsi" w:hAnsiTheme="minorHAnsi" w:cstheme="minorHAnsi"/>
          <w:bCs/>
          <w:sz w:val="22"/>
          <w:szCs w:val="22"/>
        </w:rPr>
        <w:br/>
      </w:r>
      <w:r w:rsidR="00D423D1" w:rsidRPr="004349BC">
        <w:rPr>
          <w:rFonts w:asciiTheme="minorHAnsi" w:hAnsiTheme="minorHAnsi" w:cstheme="minorHAnsi"/>
          <w:bCs/>
          <w:sz w:val="22"/>
          <w:szCs w:val="22"/>
        </w:rPr>
        <w:t xml:space="preserve">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Wykonawca zobowiązuje się – nie później niż do dnia dostawy przedmiotu  umowy -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przed złożeniem oferty Zamawiającemu zapoznał się </w:t>
      </w:r>
      <w:r w:rsidRPr="004349BC">
        <w:rPr>
          <w:rFonts w:asciiTheme="minorHAnsi" w:hAnsiTheme="minorHAnsi" w:cstheme="minorHAnsi"/>
          <w:sz w:val="22"/>
          <w:szCs w:val="22"/>
        </w:rPr>
        <w:b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C35F74">
        <w:rPr>
          <w:rFonts w:asciiTheme="minorHAnsi" w:hAnsiTheme="minorHAnsi" w:cstheme="minorHAnsi"/>
          <w:b/>
          <w:sz w:val="22"/>
          <w:szCs w:val="22"/>
        </w:rPr>
        <w:t>Biura IT</w:t>
      </w:r>
      <w:r w:rsidR="00C35F74">
        <w:rPr>
          <w:rFonts w:asciiTheme="minorHAnsi" w:hAnsiTheme="minorHAnsi" w:cstheme="minorHAnsi"/>
          <w:sz w:val="22"/>
          <w:szCs w:val="22"/>
        </w:rPr>
        <w:t>, zlokalizowanego</w:t>
      </w:r>
      <w:r w:rsidR="009E5C3A" w:rsidRPr="004349BC">
        <w:rPr>
          <w:rFonts w:asciiTheme="minorHAnsi" w:hAnsiTheme="minorHAnsi" w:cstheme="minorHAnsi"/>
          <w:sz w:val="22"/>
          <w:szCs w:val="22"/>
        </w:rPr>
        <w:t xml:space="preserve"> w Krakowie</w:t>
      </w:r>
      <w:r w:rsidR="00760460" w:rsidRPr="004349BC">
        <w:rPr>
          <w:rFonts w:asciiTheme="minorHAnsi" w:hAnsiTheme="minorHAnsi" w:cstheme="minorHAnsi"/>
          <w:sz w:val="22"/>
          <w:szCs w:val="22"/>
        </w:rPr>
        <w:t>,</w:t>
      </w:r>
      <w:r w:rsidR="009E5C3A" w:rsidRPr="004349BC">
        <w:rPr>
          <w:rFonts w:asciiTheme="minorHAnsi" w:hAnsiTheme="minorHAnsi" w:cstheme="minorHAnsi"/>
          <w:sz w:val="22"/>
          <w:szCs w:val="22"/>
        </w:rPr>
        <w:t xml:space="preserve"> przy ul. </w:t>
      </w:r>
      <w:r w:rsidR="0074407D">
        <w:rPr>
          <w:rFonts w:asciiTheme="minorHAnsi" w:hAnsiTheme="minorHAnsi" w:cstheme="minorHAnsi"/>
          <w:sz w:val="22"/>
          <w:szCs w:val="22"/>
        </w:rPr>
        <w:t xml:space="preserve">Senatorskiej </w:t>
      </w:r>
      <w:r w:rsidR="00C35F74">
        <w:rPr>
          <w:rFonts w:asciiTheme="minorHAnsi" w:hAnsiTheme="minorHAnsi" w:cstheme="minorHAnsi"/>
          <w:sz w:val="22"/>
          <w:szCs w:val="22"/>
        </w:rPr>
        <w:t>1</w:t>
      </w:r>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74407D" w:rsidRPr="004916A0">
        <w:rPr>
          <w:rFonts w:asciiTheme="minorHAnsi" w:hAnsiTheme="minorHAnsi" w:cstheme="minorHAnsi"/>
          <w:b/>
          <w:sz w:val="22"/>
          <w:szCs w:val="22"/>
        </w:rPr>
        <w:t xml:space="preserve">do dnia </w:t>
      </w:r>
      <w:r w:rsidR="00210458">
        <w:rPr>
          <w:rFonts w:asciiTheme="minorHAnsi" w:hAnsiTheme="minorHAnsi" w:cstheme="minorHAnsi"/>
          <w:b/>
          <w:sz w:val="22"/>
          <w:szCs w:val="22"/>
        </w:rPr>
        <w:t>15.11.2022 r.</w:t>
      </w:r>
      <w:bookmarkStart w:id="0" w:name="_GoBack"/>
      <w:bookmarkEnd w:id="0"/>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349BC" w:rsidRDefault="00C053E0" w:rsidP="0074407D">
      <w:pPr>
        <w:keepNext/>
        <w:widowControl w:val="0"/>
        <w:numPr>
          <w:ilvl w:val="0"/>
          <w:numId w:val="28"/>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 godzinach od 7:00 do 15:00.</w:t>
      </w:r>
    </w:p>
    <w:p w:rsidR="00AE545B"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202FB1" w:rsidRPr="004349BC">
        <w:rPr>
          <w:rFonts w:asciiTheme="minorHAnsi" w:hAnsiTheme="minorHAnsi" w:cstheme="minorHAnsi"/>
          <w:sz w:val="22"/>
          <w:szCs w:val="22"/>
        </w:rPr>
        <w:t>przedmiot</w:t>
      </w:r>
      <w:r w:rsidRPr="004349BC">
        <w:rPr>
          <w:rFonts w:asciiTheme="minorHAnsi" w:hAnsiTheme="minorHAnsi" w:cstheme="minorHAnsi"/>
          <w:sz w:val="22"/>
          <w:szCs w:val="22"/>
        </w:rPr>
        <w:t xml:space="preserve">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w oryginalnych opakowaniach</w:t>
      </w:r>
      <w:r w:rsidR="00C053E0" w:rsidRPr="004349BC">
        <w:rPr>
          <w:rFonts w:asciiTheme="minorHAnsi" w:hAnsiTheme="minorHAnsi" w:cstheme="minorHAnsi"/>
          <w:sz w:val="22"/>
          <w:szCs w:val="22"/>
        </w:rPr>
        <w:t>.</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zostanie spr</w:t>
      </w:r>
      <w:r w:rsidR="0074407D">
        <w:rPr>
          <w:rFonts w:asciiTheme="minorHAnsi" w:hAnsiTheme="minorHAnsi" w:cstheme="minorHAnsi"/>
          <w:sz w:val="22"/>
          <w:szCs w:val="22"/>
        </w:rPr>
        <w:t xml:space="preserve">awdzony pod względem zgodności </w:t>
      </w:r>
      <w:r w:rsidR="00F73E10" w:rsidRPr="004349BC">
        <w:rPr>
          <w:rFonts w:asciiTheme="minorHAnsi" w:hAnsiTheme="minorHAnsi" w:cstheme="minorHAnsi"/>
          <w:sz w:val="22"/>
          <w:szCs w:val="22"/>
        </w:rPr>
        <w:t>z umową</w:t>
      </w:r>
      <w:r w:rsidRPr="004349BC">
        <w:rPr>
          <w:rFonts w:asciiTheme="minorHAnsi" w:hAnsiTheme="minorHAnsi" w:cstheme="minorHAnsi"/>
          <w:sz w:val="22"/>
          <w:szCs w:val="22"/>
        </w:rPr>
        <w:t xml:space="preserve"> oraz pod względem ilości w obecności upoważnionych przedstawicieli obu Stron, a na powyższą okoliczność Strony sporządzą </w:t>
      </w:r>
      <w:r w:rsidRPr="0074407D">
        <w:rPr>
          <w:rFonts w:asciiTheme="minorHAnsi" w:hAnsiTheme="minorHAnsi" w:cstheme="minorHAnsi"/>
          <w:sz w:val="22"/>
          <w:szCs w:val="22"/>
        </w:rPr>
        <w:t>protokół odbioru.</w:t>
      </w:r>
      <w:r w:rsidRPr="004349BC">
        <w:rPr>
          <w:rFonts w:asciiTheme="minorHAnsi" w:hAnsiTheme="minorHAnsi" w:cstheme="minorHAnsi"/>
          <w:sz w:val="22"/>
          <w:szCs w:val="22"/>
        </w:rPr>
        <w:t xml:space="preserve"> Podpisanie przez Strony protokołu odbioru niezawierającego uwag przyjmuje się za dzień wykonania</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C053E0"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5</w:t>
      </w:r>
    </w:p>
    <w:p w:rsidR="00C053E0" w:rsidRPr="004916A0" w:rsidRDefault="00FB6617" w:rsidP="004349BC">
      <w:pPr>
        <w:numPr>
          <w:ilvl w:val="2"/>
          <w:numId w:val="3"/>
        </w:numPr>
        <w:spacing w:line="271" w:lineRule="auto"/>
        <w:jc w:val="both"/>
        <w:rPr>
          <w:rFonts w:asciiTheme="minorHAnsi" w:hAnsiTheme="minorHAnsi" w:cstheme="minorHAnsi"/>
          <w:iCs/>
          <w:sz w:val="22"/>
          <w:szCs w:val="22"/>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A62B69">
        <w:rPr>
          <w:rFonts w:asciiTheme="minorHAnsi" w:hAnsiTheme="minorHAnsi" w:cstheme="minorHAnsi"/>
          <w:sz w:val="22"/>
          <w:szCs w:val="22"/>
        </w:rPr>
        <w:t>większona o należny podatek VAT</w:t>
      </w:r>
      <w:r w:rsidR="004916A0">
        <w:rPr>
          <w:rFonts w:asciiTheme="minorHAnsi" w:hAnsiTheme="minorHAnsi" w:cstheme="minorHAnsi"/>
          <w:sz w:val="22"/>
          <w:szCs w:val="22"/>
        </w:rPr>
        <w:t>.</w:t>
      </w:r>
    </w:p>
    <w:p w:rsidR="00DB7F48" w:rsidRDefault="00DB7F48" w:rsidP="004349BC">
      <w:pPr>
        <w:numPr>
          <w:ilvl w:val="2"/>
          <w:numId w:val="3"/>
        </w:numPr>
        <w:spacing w:line="271" w:lineRule="auto"/>
        <w:jc w:val="both"/>
        <w:rPr>
          <w:rFonts w:asciiTheme="minorHAnsi" w:hAnsiTheme="minorHAnsi" w:cstheme="minorHAnsi"/>
          <w:sz w:val="22"/>
          <w:szCs w:val="22"/>
        </w:rPr>
      </w:pPr>
      <w:r w:rsidRPr="008728C9">
        <w:rPr>
          <w:rFonts w:asciiTheme="minorHAnsi" w:hAnsiTheme="minorHAnsi" w:cstheme="minorHAnsi"/>
          <w:sz w:val="22"/>
          <w:szCs w:val="22"/>
        </w:rPr>
        <w:t>Cen</w:t>
      </w:r>
      <w:r>
        <w:rPr>
          <w:rFonts w:asciiTheme="minorHAnsi" w:hAnsiTheme="minorHAnsi" w:cstheme="minorHAnsi"/>
          <w:sz w:val="22"/>
          <w:szCs w:val="22"/>
        </w:rPr>
        <w:t>a</w:t>
      </w:r>
      <w:r w:rsidRPr="008728C9">
        <w:rPr>
          <w:rFonts w:asciiTheme="minorHAnsi" w:hAnsiTheme="minorHAnsi" w:cstheme="minorHAnsi"/>
          <w:sz w:val="22"/>
          <w:szCs w:val="22"/>
        </w:rPr>
        <w:t xml:space="preserve"> jednostkow</w:t>
      </w:r>
      <w:r>
        <w:rPr>
          <w:rFonts w:asciiTheme="minorHAnsi" w:hAnsiTheme="minorHAnsi" w:cstheme="minorHAnsi"/>
          <w:sz w:val="22"/>
          <w:szCs w:val="22"/>
        </w:rPr>
        <w:t>a</w:t>
      </w:r>
      <w:r w:rsidRPr="008728C9">
        <w:rPr>
          <w:rFonts w:asciiTheme="minorHAnsi" w:hAnsiTheme="minorHAnsi" w:cstheme="minorHAnsi"/>
          <w:sz w:val="22"/>
          <w:szCs w:val="22"/>
        </w:rPr>
        <w:t xml:space="preserve"> - w kwocie netto - za wykonanie przedmiotu umowy określa oferta Wykonawcy, stanowiąca załącznik nr 1 do niniejszej umowy</w:t>
      </w:r>
      <w:r>
        <w:rPr>
          <w:rFonts w:asciiTheme="minorHAnsi" w:hAnsiTheme="minorHAnsi" w:cstheme="minorHAnsi"/>
          <w:sz w:val="22"/>
          <w:szCs w:val="22"/>
        </w:rPr>
        <w:t>.</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 xml:space="preserve">ośrednie </w:t>
      </w:r>
      <w:r w:rsidR="00F73E10" w:rsidRPr="004349BC">
        <w:rPr>
          <w:rFonts w:asciiTheme="minorHAnsi" w:hAnsiTheme="minorHAnsi" w:cstheme="minorHAnsi"/>
          <w:sz w:val="22"/>
          <w:szCs w:val="22"/>
        </w:rPr>
        <w:lastRenderedPageBreak/>
        <w:t>–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C053E0" w:rsidRPr="004349BC">
        <w:rPr>
          <w:rFonts w:asciiTheme="minorHAnsi" w:hAnsiTheme="minorHAnsi" w:cstheme="minorHAnsi"/>
          <w:sz w:val="22"/>
          <w:szCs w:val="22"/>
        </w:rPr>
        <w:t xml:space="preserve">. </w:t>
      </w:r>
    </w:p>
    <w:p w:rsidR="00253AFC" w:rsidRPr="004349BC" w:rsidRDefault="00C053E0"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A62B69">
        <w:rPr>
          <w:rFonts w:asciiTheme="minorHAnsi" w:hAnsiTheme="minorHAnsi" w:cstheme="minorHAnsi"/>
          <w:b/>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do niezwłocznego pisemnego zawiadomienia 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lastRenderedPageBreak/>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Wykonawca udziela Zamawiającemu gwarancji na 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w:t>
      </w:r>
      <w:r w:rsidRPr="004349BC">
        <w:rPr>
          <w:rFonts w:asciiTheme="minorHAnsi" w:hAnsiTheme="minorHAnsi" w:cstheme="minorHAnsi"/>
          <w:b/>
          <w:sz w:val="22"/>
          <w:szCs w:val="22"/>
        </w:rPr>
        <w:t xml:space="preserve">na okres </w:t>
      </w:r>
      <w:r w:rsidRPr="004349BC">
        <w:rPr>
          <w:rFonts w:asciiTheme="minorHAnsi" w:hAnsiTheme="minorHAnsi" w:cstheme="minorHAnsi"/>
          <w:b/>
          <w:sz w:val="22"/>
          <w:szCs w:val="22"/>
        </w:rPr>
        <w:br/>
      </w:r>
      <w:r w:rsidR="0074407D">
        <w:rPr>
          <w:rFonts w:asciiTheme="minorHAnsi" w:hAnsiTheme="minorHAnsi" w:cstheme="minorHAnsi"/>
          <w:b/>
          <w:bCs/>
          <w:color w:val="000000"/>
          <w:sz w:val="22"/>
          <w:szCs w:val="22"/>
        </w:rPr>
        <w:t>......... miesięcy</w:t>
      </w:r>
      <w:r w:rsidR="00F10046" w:rsidRPr="004349BC">
        <w:rPr>
          <w:rFonts w:asciiTheme="minorHAnsi" w:hAnsiTheme="minorHAnsi" w:cstheme="minorHAnsi"/>
          <w:color w:val="000000"/>
          <w:sz w:val="22"/>
          <w:szCs w:val="22"/>
        </w:rPr>
        <w:t xml:space="preserve">, licząc od dnia podpisania protokołu odbioru przedmiotu </w:t>
      </w:r>
      <w:r w:rsidR="002F0405" w:rsidRPr="004349BC">
        <w:rPr>
          <w:rFonts w:asciiTheme="minorHAnsi" w:hAnsiTheme="minorHAnsi" w:cstheme="minorHAnsi"/>
          <w:color w:val="000000"/>
          <w:sz w:val="22"/>
          <w:szCs w:val="22"/>
        </w:rPr>
        <w:t>umowy</w:t>
      </w:r>
      <w:r w:rsidR="00F10046" w:rsidRPr="004349BC">
        <w:rPr>
          <w:rFonts w:asciiTheme="minorHAnsi" w:hAnsiTheme="minorHAnsi" w:cstheme="minorHAnsi"/>
          <w:bCs/>
          <w:color w:val="000000"/>
          <w:sz w:val="22"/>
          <w:szCs w:val="22"/>
        </w:rPr>
        <w:t>.</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4349BC">
      <w:pPr>
        <w:numPr>
          <w:ilvl w:val="0"/>
          <w:numId w:val="21"/>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których ujawnienie następuje na żądanie organów administracyjnych lub sądowych, w tym na potrzeby postępowań sądowych;</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lastRenderedPageBreak/>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lastRenderedPageBreak/>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default" r:id="rId7"/>
      <w:footerReference w:type="even" r:id="rId8"/>
      <w:footerReference w:type="default" r:id="rId9"/>
      <w:headerReference w:type="first" r:id="rId10"/>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27" w:rsidRDefault="00B07827">
      <w:r>
        <w:separator/>
      </w:r>
    </w:p>
  </w:endnote>
  <w:endnote w:type="continuationSeparator" w:id="0">
    <w:p w:rsidR="00B07827" w:rsidRDefault="00B0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210458">
      <w:rPr>
        <w:rStyle w:val="Numerstrony"/>
        <w:rFonts w:asciiTheme="minorHAnsi" w:hAnsiTheme="minorHAnsi" w:cstheme="minorHAnsi"/>
        <w:noProof/>
        <w:sz w:val="22"/>
        <w:szCs w:val="22"/>
      </w:rPr>
      <w:t>2</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27" w:rsidRDefault="00B07827">
      <w:r>
        <w:separator/>
      </w:r>
    </w:p>
  </w:footnote>
  <w:footnote w:type="continuationSeparator" w:id="0">
    <w:p w:rsidR="00B07827" w:rsidRDefault="00B0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0A3D4E">
      <w:rPr>
        <w:rFonts w:asciiTheme="minorHAnsi" w:hAnsiTheme="minorHAnsi" w:cstheme="minorHAnsi"/>
        <w:b/>
        <w:sz w:val="22"/>
        <w:szCs w:val="22"/>
      </w:rPr>
      <w:t>584</w:t>
    </w:r>
    <w:r w:rsidR="004349BC">
      <w:rPr>
        <w:rFonts w:asciiTheme="minorHAnsi" w:hAnsiTheme="minorHAnsi" w:cstheme="minorHAnsi"/>
        <w:b/>
        <w:sz w:val="22"/>
        <w:szCs w:val="22"/>
      </w:rPr>
      <w:t>/PN-</w:t>
    </w:r>
    <w:r w:rsidR="000A3D4E">
      <w:rPr>
        <w:rFonts w:asciiTheme="minorHAnsi" w:hAnsiTheme="minorHAnsi" w:cstheme="minorHAnsi"/>
        <w:b/>
        <w:sz w:val="22"/>
        <w:szCs w:val="22"/>
      </w:rPr>
      <w:t>64</w:t>
    </w:r>
    <w:r w:rsidR="004349BC">
      <w:rPr>
        <w:rFonts w:asciiTheme="minorHAnsi" w:hAnsiTheme="minorHAnsi" w:cstheme="minorHAnsi"/>
        <w:b/>
        <w:sz w:val="22"/>
        <w:szCs w:val="22"/>
      </w:rPr>
      <w:t>/2022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7B00CB"/>
    <w:multiLevelType w:val="multilevel"/>
    <w:tmpl w:val="264EE2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B7375"/>
    <w:multiLevelType w:val="hybridMultilevel"/>
    <w:tmpl w:val="312E0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2D1"/>
    <w:multiLevelType w:val="hybridMultilevel"/>
    <w:tmpl w:val="0D361C44"/>
    <w:lvl w:ilvl="0" w:tplc="1764DFAA">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E70B8"/>
    <w:multiLevelType w:val="hybridMultilevel"/>
    <w:tmpl w:val="000E8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70011E"/>
    <w:multiLevelType w:val="multilevel"/>
    <w:tmpl w:val="816C8C3E"/>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015F6C"/>
    <w:multiLevelType w:val="hybridMultilevel"/>
    <w:tmpl w:val="1C1A84F4"/>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382BD98">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1A702AC"/>
    <w:multiLevelType w:val="hybridMultilevel"/>
    <w:tmpl w:val="396C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E3DEA"/>
    <w:multiLevelType w:val="hybridMultilevel"/>
    <w:tmpl w:val="DA080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6178C"/>
    <w:multiLevelType w:val="multilevel"/>
    <w:tmpl w:val="A156EFC4"/>
    <w:lvl w:ilvl="0">
      <w:start w:val="1"/>
      <w:numFmt w:val="decimal"/>
      <w:lvlText w:val="%1."/>
      <w:lvlJc w:val="left"/>
      <w:pPr>
        <w:tabs>
          <w:tab w:val="num" w:pos="397"/>
        </w:tabs>
        <w:ind w:left="397" w:hanging="397"/>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3D7"/>
    <w:multiLevelType w:val="hybridMultilevel"/>
    <w:tmpl w:val="1D745A92"/>
    <w:lvl w:ilvl="0" w:tplc="0415000F">
      <w:start w:val="1"/>
      <w:numFmt w:val="decimal"/>
      <w:lvlText w:val="%1."/>
      <w:lvlJc w:val="left"/>
      <w:pPr>
        <w:tabs>
          <w:tab w:val="num" w:pos="360"/>
        </w:tabs>
        <w:ind w:left="360" w:hanging="360"/>
      </w:pPr>
      <w:rPr>
        <w:rFonts w:hint="default"/>
        <w:b w:val="0"/>
        <w:i w:val="0"/>
        <w:sz w:val="24"/>
      </w:rPr>
    </w:lvl>
    <w:lvl w:ilvl="1" w:tplc="FF6A31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F7D04"/>
    <w:multiLevelType w:val="hybridMultilevel"/>
    <w:tmpl w:val="B70824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0304B6"/>
    <w:multiLevelType w:val="hybridMultilevel"/>
    <w:tmpl w:val="ED3E1F96"/>
    <w:lvl w:ilvl="0" w:tplc="DB166D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03C86"/>
    <w:multiLevelType w:val="hybridMultilevel"/>
    <w:tmpl w:val="1DD61A96"/>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081C11"/>
    <w:multiLevelType w:val="hybridMultilevel"/>
    <w:tmpl w:val="CA9E9254"/>
    <w:lvl w:ilvl="0" w:tplc="4DFC394E">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697E11"/>
    <w:multiLevelType w:val="hybridMultilevel"/>
    <w:tmpl w:val="AABC8FA2"/>
    <w:lvl w:ilvl="0" w:tplc="7CF6693E">
      <w:start w:val="1"/>
      <w:numFmt w:val="decimal"/>
      <w:lvlText w:val="%1."/>
      <w:lvlJc w:val="left"/>
      <w:pPr>
        <w:tabs>
          <w:tab w:val="num" w:pos="397"/>
        </w:tabs>
        <w:ind w:left="397" w:hanging="397"/>
      </w:pPr>
      <w:rPr>
        <w:rFonts w:hint="default"/>
      </w:rPr>
    </w:lvl>
    <w:lvl w:ilvl="1" w:tplc="7FCE916E">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6B468F"/>
    <w:multiLevelType w:val="hybridMultilevel"/>
    <w:tmpl w:val="257A04D0"/>
    <w:lvl w:ilvl="0" w:tplc="7F429AC2">
      <w:start w:val="1"/>
      <w:numFmt w:val="decimal"/>
      <w:lvlText w:val="%1)"/>
      <w:lvlJc w:val="left"/>
      <w:pPr>
        <w:tabs>
          <w:tab w:val="num" w:pos="567"/>
        </w:tabs>
        <w:ind w:left="567" w:hanging="567"/>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B32651"/>
    <w:multiLevelType w:val="multilevel"/>
    <w:tmpl w:val="40521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64D4"/>
    <w:multiLevelType w:val="hybridMultilevel"/>
    <w:tmpl w:val="CE981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1F1217"/>
    <w:multiLevelType w:val="hybridMultilevel"/>
    <w:tmpl w:val="78ACC4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AB6A1D"/>
    <w:multiLevelType w:val="multilevel"/>
    <w:tmpl w:val="5E16FB1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
  </w:num>
  <w:num w:numId="3">
    <w:abstractNumId w:val="37"/>
  </w:num>
  <w:num w:numId="4">
    <w:abstractNumId w:val="34"/>
  </w:num>
  <w:num w:numId="5">
    <w:abstractNumId w:val="27"/>
  </w:num>
  <w:num w:numId="6">
    <w:abstractNumId w:val="46"/>
  </w:num>
  <w:num w:numId="7">
    <w:abstractNumId w:val="15"/>
  </w:num>
  <w:num w:numId="8">
    <w:abstractNumId w:val="8"/>
  </w:num>
  <w:num w:numId="9">
    <w:abstractNumId w:val="44"/>
  </w:num>
  <w:num w:numId="10">
    <w:abstractNumId w:val="23"/>
  </w:num>
  <w:num w:numId="11">
    <w:abstractNumId w:val="12"/>
    <w:lvlOverride w:ilvl="0">
      <w:startOverride w:val="1"/>
    </w:lvlOverride>
  </w:num>
  <w:num w:numId="12">
    <w:abstractNumId w:val="0"/>
  </w:num>
  <w:num w:numId="13">
    <w:abstractNumId w:val="35"/>
  </w:num>
  <w:num w:numId="14">
    <w:abstractNumId w:val="4"/>
  </w:num>
  <w:num w:numId="15">
    <w:abstractNumId w:val="21"/>
  </w:num>
  <w:num w:numId="16">
    <w:abstractNumId w:val="38"/>
  </w:num>
  <w:num w:numId="17">
    <w:abstractNumId w:val="20"/>
  </w:num>
  <w:num w:numId="18">
    <w:abstractNumId w:val="18"/>
  </w:num>
  <w:num w:numId="19">
    <w:abstractNumId w:val="41"/>
  </w:num>
  <w:num w:numId="20">
    <w:abstractNumId w:val="7"/>
  </w:num>
  <w:num w:numId="21">
    <w:abstractNumId w:val="13"/>
  </w:num>
  <w:num w:numId="22">
    <w:abstractNumId w:val="24"/>
  </w:num>
  <w:num w:numId="23">
    <w:abstractNumId w:val="9"/>
  </w:num>
  <w:num w:numId="24">
    <w:abstractNumId w:val="22"/>
  </w:num>
  <w:num w:numId="25">
    <w:abstractNumId w:val="30"/>
  </w:num>
  <w:num w:numId="26">
    <w:abstractNumId w:val="47"/>
  </w:num>
  <w:num w:numId="27">
    <w:abstractNumId w:val="31"/>
  </w:num>
  <w:num w:numId="28">
    <w:abstractNumId w:val="11"/>
  </w:num>
  <w:num w:numId="29">
    <w:abstractNumId w:val="10"/>
  </w:num>
  <w:num w:numId="30">
    <w:abstractNumId w:val="14"/>
  </w:num>
  <w:num w:numId="31">
    <w:abstractNumId w:val="42"/>
  </w:num>
  <w:num w:numId="32">
    <w:abstractNumId w:val="17"/>
  </w:num>
  <w:num w:numId="33">
    <w:abstractNumId w:val="39"/>
  </w:num>
  <w:num w:numId="34">
    <w:abstractNumId w:val="48"/>
  </w:num>
  <w:num w:numId="35">
    <w:abstractNumId w:val="43"/>
  </w:num>
  <w:num w:numId="36">
    <w:abstractNumId w:val="2"/>
  </w:num>
  <w:num w:numId="37">
    <w:abstractNumId w:val="26"/>
  </w:num>
  <w:num w:numId="38">
    <w:abstractNumId w:val="25"/>
  </w:num>
  <w:num w:numId="39">
    <w:abstractNumId w:val="3"/>
  </w:num>
  <w:num w:numId="40">
    <w:abstractNumId w:val="6"/>
  </w:num>
  <w:num w:numId="41">
    <w:abstractNumId w:val="33"/>
  </w:num>
  <w:num w:numId="42">
    <w:abstractNumId w:val="40"/>
  </w:num>
  <w:num w:numId="43">
    <w:abstractNumId w:val="19"/>
  </w:num>
  <w:num w:numId="44">
    <w:abstractNumId w:val="36"/>
  </w:num>
  <w:num w:numId="45">
    <w:abstractNumId w:val="28"/>
  </w:num>
  <w:num w:numId="46">
    <w:abstractNumId w:val="32"/>
  </w:num>
  <w:num w:numId="47">
    <w:abstractNumId w:val="45"/>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A3D4E"/>
    <w:rsid w:val="000C1904"/>
    <w:rsid w:val="000C69E3"/>
    <w:rsid w:val="000F0102"/>
    <w:rsid w:val="00114F5F"/>
    <w:rsid w:val="00122C66"/>
    <w:rsid w:val="001253AF"/>
    <w:rsid w:val="0013454D"/>
    <w:rsid w:val="00147AD0"/>
    <w:rsid w:val="001528B9"/>
    <w:rsid w:val="0016495E"/>
    <w:rsid w:val="00182D7C"/>
    <w:rsid w:val="00184CF0"/>
    <w:rsid w:val="001A00BF"/>
    <w:rsid w:val="001B05AC"/>
    <w:rsid w:val="001B4FCB"/>
    <w:rsid w:val="001F5F4A"/>
    <w:rsid w:val="00202FB1"/>
    <w:rsid w:val="00210458"/>
    <w:rsid w:val="0022009D"/>
    <w:rsid w:val="00250A53"/>
    <w:rsid w:val="00253AFC"/>
    <w:rsid w:val="00276CD9"/>
    <w:rsid w:val="0029329D"/>
    <w:rsid w:val="002A5D6A"/>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777A8"/>
    <w:rsid w:val="00483017"/>
    <w:rsid w:val="00485526"/>
    <w:rsid w:val="004916A0"/>
    <w:rsid w:val="00494442"/>
    <w:rsid w:val="0049484B"/>
    <w:rsid w:val="004C16C4"/>
    <w:rsid w:val="00531C08"/>
    <w:rsid w:val="00581ADC"/>
    <w:rsid w:val="005840BB"/>
    <w:rsid w:val="005B3C38"/>
    <w:rsid w:val="005B7157"/>
    <w:rsid w:val="005D4D0F"/>
    <w:rsid w:val="005D61F9"/>
    <w:rsid w:val="005D78AC"/>
    <w:rsid w:val="005E65CE"/>
    <w:rsid w:val="005F610C"/>
    <w:rsid w:val="00612DCA"/>
    <w:rsid w:val="00624E43"/>
    <w:rsid w:val="006316C5"/>
    <w:rsid w:val="00636535"/>
    <w:rsid w:val="00643C0B"/>
    <w:rsid w:val="0065328F"/>
    <w:rsid w:val="00654FB4"/>
    <w:rsid w:val="006623A7"/>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5DA7"/>
    <w:rsid w:val="00867969"/>
    <w:rsid w:val="0087067F"/>
    <w:rsid w:val="00871EB7"/>
    <w:rsid w:val="008804AB"/>
    <w:rsid w:val="00887A10"/>
    <w:rsid w:val="00891C54"/>
    <w:rsid w:val="008A0991"/>
    <w:rsid w:val="008A15D2"/>
    <w:rsid w:val="008B3080"/>
    <w:rsid w:val="008B6F7C"/>
    <w:rsid w:val="008C4F04"/>
    <w:rsid w:val="008D0145"/>
    <w:rsid w:val="008F21B2"/>
    <w:rsid w:val="00925C77"/>
    <w:rsid w:val="00953FAA"/>
    <w:rsid w:val="009868B4"/>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07827"/>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3580C"/>
    <w:rsid w:val="00C35F74"/>
    <w:rsid w:val="00C40C2B"/>
    <w:rsid w:val="00C47C6E"/>
    <w:rsid w:val="00C764AD"/>
    <w:rsid w:val="00CA5B1A"/>
    <w:rsid w:val="00D06EEE"/>
    <w:rsid w:val="00D3448C"/>
    <w:rsid w:val="00D423D1"/>
    <w:rsid w:val="00D81014"/>
    <w:rsid w:val="00DA24C7"/>
    <w:rsid w:val="00DB1894"/>
    <w:rsid w:val="00DB7F48"/>
    <w:rsid w:val="00DE33BC"/>
    <w:rsid w:val="00DF09CC"/>
    <w:rsid w:val="00DF261B"/>
    <w:rsid w:val="00E15C50"/>
    <w:rsid w:val="00E279CC"/>
    <w:rsid w:val="00E400BD"/>
    <w:rsid w:val="00E47875"/>
    <w:rsid w:val="00E57178"/>
    <w:rsid w:val="00E73DD7"/>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22"/>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12"/>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22"/>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2552</Words>
  <Characters>17330</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19843</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15</cp:revision>
  <dcterms:created xsi:type="dcterms:W3CDTF">2021-09-07T09:38:00Z</dcterms:created>
  <dcterms:modified xsi:type="dcterms:W3CDTF">2022-09-23T09:07:00Z</dcterms:modified>
</cp:coreProperties>
</file>