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4F66" w14:textId="77777777" w:rsidR="00837C56" w:rsidRPr="00B509D1" w:rsidRDefault="00837C56" w:rsidP="00837C56">
      <w:pPr>
        <w:spacing w:after="120" w:line="300" w:lineRule="atLeast"/>
        <w:rPr>
          <w:rFonts w:asciiTheme="majorHAnsi" w:hAnsiTheme="majorHAnsi"/>
        </w:rPr>
      </w:pPr>
      <w:r w:rsidRPr="00B509D1">
        <w:rPr>
          <w:rFonts w:asciiTheme="majorHAnsi" w:hAnsiTheme="majorHAnsi"/>
        </w:rPr>
        <w:t>Procedura odtworzeniowa przy odbiorze kodów źródłowych.</w:t>
      </w:r>
    </w:p>
    <w:p w14:paraId="19B1BA9F" w14:textId="77777777" w:rsidR="00837C56" w:rsidRPr="00B509D1" w:rsidRDefault="00837C56" w:rsidP="00837C56">
      <w:pPr>
        <w:spacing w:after="120" w:line="300" w:lineRule="atLeast"/>
        <w:rPr>
          <w:rFonts w:asciiTheme="majorHAnsi" w:hAnsiTheme="majorHAnsi"/>
        </w:rPr>
      </w:pPr>
    </w:p>
    <w:p w14:paraId="525132F0" w14:textId="22640BDC" w:rsidR="00837C56" w:rsidRPr="00B509D1" w:rsidRDefault="00837C56" w:rsidP="00837C56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Celem realizacji procedury jest przekazanie przez Wykonawcę Zamawiającemu kodów źródłowych oprogramowania wytworzonego w ramach realizacji umowy</w:t>
      </w:r>
      <w:r w:rsidR="00B509D1" w:rsidRPr="00B509D1">
        <w:rPr>
          <w:rFonts w:asciiTheme="majorHAnsi" w:hAnsiTheme="majorHAnsi"/>
        </w:rPr>
        <w:t xml:space="preserve"> (Oprogramowania Dedykowanego)</w:t>
      </w:r>
      <w:r w:rsidRPr="00B509D1">
        <w:rPr>
          <w:rFonts w:asciiTheme="majorHAnsi" w:hAnsiTheme="majorHAnsi"/>
        </w:rPr>
        <w:t>.</w:t>
      </w:r>
    </w:p>
    <w:p w14:paraId="101BFE7A" w14:textId="77777777" w:rsidR="00837C56" w:rsidRPr="00B509D1" w:rsidRDefault="00837C56" w:rsidP="00837C56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W ramach procedury wykonywane jest sprawdzenie kompletności i poprawności przekazanych kodów źródłowych oraz przeprowadzany jest proces weryfikacji przekazanych kodów.</w:t>
      </w:r>
    </w:p>
    <w:p w14:paraId="1CFE4745" w14:textId="77777777" w:rsidR="00837C56" w:rsidRPr="00B509D1" w:rsidRDefault="00837C56" w:rsidP="00837C56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Zamawiający przeprowadzi procedurę odtworzeniową zgodnie z dokumentacją dostarczoną przez Wykonawcę zawierającą co najmniej:</w:t>
      </w:r>
    </w:p>
    <w:p w14:paraId="6200D757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wykaz przekazywanych elementów wchodzących w skład kodów źródłowych,</w:t>
      </w:r>
    </w:p>
    <w:p w14:paraId="55520410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instrukcję doprowadzenia kodu do postaci wykonywalnej (w szczególności drodze kompilacji),</w:t>
      </w:r>
    </w:p>
    <w:p w14:paraId="4672C363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 xml:space="preserve">instrukcję instalacji wraz z zestawieniem użytych parametrów konfiguracyjnych umożliwiającą konfigurację środowiska , </w:t>
      </w:r>
    </w:p>
    <w:p w14:paraId="3BBE842F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opis struktury danych (tabele bazy danych)</w:t>
      </w:r>
    </w:p>
    <w:p w14:paraId="16E1C309" w14:textId="3A5C00EE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opis sp</w:t>
      </w:r>
      <w:r w:rsidR="00B509D1" w:rsidRPr="00B509D1">
        <w:rPr>
          <w:rFonts w:asciiTheme="majorHAnsi" w:hAnsiTheme="majorHAnsi" w:cs="Calibri Light"/>
          <w:sz w:val="20"/>
          <w:szCs w:val="20"/>
        </w:rPr>
        <w:t>osobu instalacji i aktualizacji</w:t>
      </w:r>
    </w:p>
    <w:p w14:paraId="6E040071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 xml:space="preserve">opis komponentów, np.: użyte biblioteki (źródło, licencja, źródła jeżeli dostępne), </w:t>
      </w:r>
    </w:p>
    <w:p w14:paraId="2A91D687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diagram klas i opis tekstowy tych klas (czytelna dokumentacja)</w:t>
      </w:r>
    </w:p>
    <w:p w14:paraId="37DFCD0A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diagram modułów</w:t>
      </w:r>
    </w:p>
    <w:p w14:paraId="1FC9C3DD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opis optymalnych wymagań sprzętowych serwera</w:t>
      </w:r>
    </w:p>
    <w:p w14:paraId="1A6BB6DA" w14:textId="77777777" w:rsidR="00837C56" w:rsidRPr="00B509D1" w:rsidRDefault="00837C56" w:rsidP="00837C56">
      <w:pPr>
        <w:pStyle w:val="Kolorowalistaakcent11"/>
        <w:numPr>
          <w:ilvl w:val="1"/>
          <w:numId w:val="2"/>
        </w:num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B509D1">
        <w:rPr>
          <w:rFonts w:asciiTheme="majorHAnsi" w:hAnsiTheme="majorHAnsi" w:cs="Calibri Light"/>
          <w:sz w:val="20"/>
          <w:szCs w:val="20"/>
        </w:rPr>
        <w:t>opis sposobu pobierania i opis samych danych pobieranych z zewnętrznych źródeł danych (jeżeli występują)</w:t>
      </w:r>
    </w:p>
    <w:p w14:paraId="1EE3C588" w14:textId="77777777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 xml:space="preserve">Wykonawca przekazuje Zamawiającemu kody źródłowe na informatycznym nośniku danych, w formie umożliwiającej Zamawiającemu swobodny odczyt kodu źródłowego, a także zapisanie kodu na innym nośniku i doprowadzenie tego kodu źródłowego do formy wykonywalnej (w szczególności w drodze kompilacji) na odpowiednio wyposażonym stanowisku komputerowym. </w:t>
      </w:r>
    </w:p>
    <w:p w14:paraId="231DB445" w14:textId="6E586676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Nośnik,</w:t>
      </w:r>
      <w:r w:rsidR="00B509D1" w:rsidRPr="00B509D1">
        <w:rPr>
          <w:rFonts w:asciiTheme="majorHAnsi" w:hAnsiTheme="majorHAnsi"/>
        </w:rPr>
        <w:t xml:space="preserve"> o którym mowa w pkt 4</w:t>
      </w:r>
      <w:r w:rsidRPr="00B509D1">
        <w:rPr>
          <w:rFonts w:asciiTheme="majorHAnsi" w:hAnsiTheme="majorHAnsi"/>
        </w:rPr>
        <w:t>, musi być zabezpieczony np. w zamkniętej kopercie.</w:t>
      </w:r>
    </w:p>
    <w:p w14:paraId="459987F1" w14:textId="505FA4A4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 xml:space="preserve">Wraz z kodem źródłowym Wykonawca dostarczy kompletny wykaz narzędzi programistycznych, bibliotek i innych elementów niezbędnych do doprowadzenia takiego Oprogramowania </w:t>
      </w:r>
      <w:r w:rsidR="00B509D1" w:rsidRPr="00B509D1">
        <w:rPr>
          <w:rFonts w:asciiTheme="majorHAnsi" w:hAnsiTheme="majorHAnsi"/>
        </w:rPr>
        <w:t xml:space="preserve">Dedykowanego </w:t>
      </w:r>
      <w:r w:rsidRPr="00B509D1">
        <w:rPr>
          <w:rFonts w:asciiTheme="majorHAnsi" w:hAnsiTheme="majorHAnsi"/>
        </w:rPr>
        <w:t xml:space="preserve">do formy wykonywalnej. Wykonawca nie jest uprawniony do stosowania jakichkolwiek technik lub ograniczeń, które uniemożliwiłyby lub istotnie utrudniły Zamawiającemu odczyt lub zapisywanie kodu, w szczególności szyfrowania. </w:t>
      </w:r>
    </w:p>
    <w:p w14:paraId="2E011054" w14:textId="77777777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Wraz z kodami na nośniku Wykonawca przekaże wszelkie oprogramowanie niezbędne do odtworzenia kodów do postaci wynikowej. Wykonawca w ramach przedmiotu zamówienia zapewni wszystkie niezbędne w tym celu licencje dla Zamawiającego. Nie dotyczy to systemu operacyjnego serwera oraz bazy danych, na których będzie przeprowadzana procedura odtworzeniowa.</w:t>
      </w:r>
    </w:p>
    <w:p w14:paraId="79DC2FF1" w14:textId="77777777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Wraz z kodami na nośniku Wykonawca przekaże pełną instrukcję kompilacji kodu źródłowego.</w:t>
      </w:r>
    </w:p>
    <w:p w14:paraId="0F28310E" w14:textId="0603475B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Kody źródłowe muszą być możliwe do odtworzenia na sprzęcie o następujących minimalnych parametrach: Serwer s</w:t>
      </w:r>
      <w:bookmarkStart w:id="0" w:name="_GoBack"/>
      <w:bookmarkEnd w:id="0"/>
      <w:r w:rsidRPr="00B509D1">
        <w:rPr>
          <w:rFonts w:asciiTheme="majorHAnsi" w:hAnsiTheme="majorHAnsi"/>
        </w:rPr>
        <w:t xml:space="preserve">przętowy z procesorem </w:t>
      </w:r>
      <w:r w:rsidR="00B509D1" w:rsidRPr="00B509D1">
        <w:rPr>
          <w:rFonts w:asciiTheme="majorHAnsi" w:hAnsiTheme="majorHAnsi"/>
        </w:rPr>
        <w:t>………… o częstotliwości min. ……. GHz, …..</w:t>
      </w:r>
      <w:r w:rsidRPr="00B509D1">
        <w:rPr>
          <w:rFonts w:asciiTheme="majorHAnsi" w:hAnsiTheme="majorHAnsi"/>
        </w:rPr>
        <w:t xml:space="preserve"> GB pamięci operacyjnej, </w:t>
      </w:r>
      <w:r w:rsidR="00B509D1" w:rsidRPr="00B509D1">
        <w:rPr>
          <w:rFonts w:asciiTheme="majorHAnsi" w:hAnsiTheme="majorHAnsi"/>
        </w:rPr>
        <w:t>…….</w:t>
      </w:r>
      <w:r w:rsidRPr="00B509D1">
        <w:rPr>
          <w:rFonts w:asciiTheme="majorHAnsi" w:hAnsiTheme="majorHAnsi"/>
        </w:rPr>
        <w:t xml:space="preserve"> GB </w:t>
      </w:r>
      <w:r w:rsidR="00B509D1" w:rsidRPr="00B509D1">
        <w:rPr>
          <w:rFonts w:asciiTheme="majorHAnsi" w:hAnsiTheme="majorHAnsi"/>
        </w:rPr>
        <w:t>pojemności dysku twardego.</w:t>
      </w:r>
      <w:r w:rsidRPr="00B509D1">
        <w:rPr>
          <w:rFonts w:asciiTheme="majorHAnsi" w:hAnsiTheme="majorHAnsi"/>
        </w:rPr>
        <w:t xml:space="preserve"> </w:t>
      </w:r>
    </w:p>
    <w:p w14:paraId="13EEAD59" w14:textId="7C12184E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 xml:space="preserve">Zamawiający przeprowadzi procedurę odtworzeniową postępując zgodnie z instrukcją dostarczoną przez Zamawiającego na </w:t>
      </w:r>
      <w:r w:rsidR="00B509D1" w:rsidRPr="00B509D1">
        <w:rPr>
          <w:rFonts w:asciiTheme="majorHAnsi" w:hAnsiTheme="majorHAnsi"/>
        </w:rPr>
        <w:t>sprzęcie, o którym mowa w pkt 8</w:t>
      </w:r>
      <w:r w:rsidRPr="00B509D1">
        <w:rPr>
          <w:rFonts w:asciiTheme="majorHAnsi" w:hAnsiTheme="majorHAnsi"/>
        </w:rPr>
        <w:t xml:space="preserve"> wraz z pozostałym niezbędnym oprogramowaniem. </w:t>
      </w:r>
    </w:p>
    <w:p w14:paraId="467CD8D8" w14:textId="77777777" w:rsidR="00837C56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t>Wykonawca na żądanie Zamawiającego może uczestniczyć w czynnościach  odtworzenia kodu.</w:t>
      </w:r>
    </w:p>
    <w:p w14:paraId="3E97A212" w14:textId="77777777" w:rsidR="007D5515" w:rsidRPr="00B509D1" w:rsidRDefault="00837C56" w:rsidP="00B509D1">
      <w:pPr>
        <w:numPr>
          <w:ilvl w:val="0"/>
          <w:numId w:val="2"/>
        </w:numPr>
        <w:spacing w:after="120" w:line="300" w:lineRule="atLeast"/>
        <w:ind w:left="426"/>
        <w:jc w:val="both"/>
        <w:rPr>
          <w:rFonts w:asciiTheme="majorHAnsi" w:hAnsiTheme="majorHAnsi"/>
        </w:rPr>
      </w:pPr>
      <w:r w:rsidRPr="00B509D1">
        <w:rPr>
          <w:rFonts w:asciiTheme="majorHAnsi" w:hAnsiTheme="majorHAnsi"/>
        </w:rPr>
        <w:lastRenderedPageBreak/>
        <w:t>Jeżeli w trakcie tych czynności wystąpi błąd lub okaże się, że kodu nie da się skompilować, Zamawiający zgłosi wadę Wykonawcy celem jej usunięcia.</w:t>
      </w:r>
    </w:p>
    <w:sectPr w:rsidR="007D5515" w:rsidRPr="00B509D1" w:rsidSect="003C25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15EF7"/>
    <w:multiLevelType w:val="hybridMultilevel"/>
    <w:tmpl w:val="FF40D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1F37"/>
    <w:multiLevelType w:val="hybridMultilevel"/>
    <w:tmpl w:val="92FA0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56"/>
    <w:rsid w:val="000951BB"/>
    <w:rsid w:val="00197527"/>
    <w:rsid w:val="003C255A"/>
    <w:rsid w:val="006925F1"/>
    <w:rsid w:val="007310FA"/>
    <w:rsid w:val="007A3192"/>
    <w:rsid w:val="00837C56"/>
    <w:rsid w:val="00A32775"/>
    <w:rsid w:val="00AB2A20"/>
    <w:rsid w:val="00B432E9"/>
    <w:rsid w:val="00B509D1"/>
    <w:rsid w:val="00D5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CE4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Times New Roman" w:hAnsi="Helvetica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37C56"/>
    <w:pPr>
      <w:suppressAutoHyphens/>
    </w:pPr>
    <w:rPr>
      <w:rFonts w:ascii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reci">
    <w:name w:val="Spis treści"/>
    <w:basedOn w:val="Normalny"/>
    <w:qFormat/>
    <w:rsid w:val="00A32775"/>
    <w:pPr>
      <w:spacing w:before="60" w:after="60" w:line="300" w:lineRule="atLeast"/>
      <w:jc w:val="center"/>
    </w:pPr>
    <w:rPr>
      <w:rFonts w:asciiTheme="majorHAnsi" w:hAnsiTheme="majorHAnsi"/>
      <w:b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37C5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rsid w:val="00837C5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2680</Characters>
  <Application>Microsoft Macintosh Word</Application>
  <DocSecurity>0</DocSecurity>
  <Lines>22</Lines>
  <Paragraphs>6</Paragraphs>
  <ScaleCrop>false</ScaleCrop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Kaliński</dc:creator>
  <cp:keywords/>
  <dc:description/>
  <cp:lastModifiedBy>Wojciech Kaliński</cp:lastModifiedBy>
  <cp:revision>2</cp:revision>
  <dcterms:created xsi:type="dcterms:W3CDTF">2018-03-21T09:10:00Z</dcterms:created>
  <dcterms:modified xsi:type="dcterms:W3CDTF">2018-03-21T09:16:00Z</dcterms:modified>
</cp:coreProperties>
</file>