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675" w:rsidRDefault="002F4306" w:rsidP="0096652C">
      <w:pPr>
        <w:pStyle w:val="Bodytext20"/>
        <w:shd w:val="clear" w:color="auto" w:fill="auto"/>
        <w:tabs>
          <w:tab w:val="right" w:pos="4262"/>
        </w:tabs>
        <w:spacing w:before="0" w:after="120" w:line="260" w:lineRule="atLeast"/>
        <w:ind w:right="-6" w:hanging="8"/>
      </w:pPr>
      <w:r>
        <w:t xml:space="preserve">EZU/EM/167/PN-25/ </w:t>
      </w:r>
      <w:r w:rsidR="00BB18C8">
        <w:t>265</w:t>
      </w:r>
      <w:r w:rsidR="00C76544">
        <w:t>/2018</w:t>
      </w:r>
      <w:r>
        <w:t xml:space="preserve"> </w:t>
      </w:r>
      <w:r w:rsidR="002B5EC3">
        <w:tab/>
      </w:r>
      <w:r w:rsidR="002B5EC3">
        <w:tab/>
      </w:r>
      <w:r w:rsidR="002B5EC3">
        <w:tab/>
        <w:t xml:space="preserve">    </w:t>
      </w:r>
      <w:r w:rsidR="0096652C">
        <w:t xml:space="preserve">   </w:t>
      </w:r>
      <w:r w:rsidR="0096652C">
        <w:tab/>
      </w:r>
      <w:r w:rsidR="002B5EC3">
        <w:t xml:space="preserve"> </w:t>
      </w:r>
      <w:r w:rsidR="0096652C">
        <w:t xml:space="preserve">      </w:t>
      </w:r>
      <w:r>
        <w:t xml:space="preserve">Kraków, </w:t>
      </w:r>
      <w:r w:rsidR="007006C5">
        <w:t>11</w:t>
      </w:r>
      <w:r>
        <w:t xml:space="preserve"> maja 2018 r.</w:t>
      </w:r>
    </w:p>
    <w:p w:rsidR="001D0E78" w:rsidRDefault="001D0E78" w:rsidP="0096652C">
      <w:pPr>
        <w:pStyle w:val="Heading10"/>
        <w:keepNext/>
        <w:keepLines/>
        <w:shd w:val="clear" w:color="auto" w:fill="auto"/>
        <w:spacing w:before="0" w:after="120" w:line="260" w:lineRule="atLeast"/>
        <w:ind w:left="3540" w:right="-6" w:firstLine="708"/>
      </w:pPr>
    </w:p>
    <w:p w:rsidR="007D5675" w:rsidRDefault="00C76544" w:rsidP="0096652C">
      <w:pPr>
        <w:pStyle w:val="Heading10"/>
        <w:keepNext/>
        <w:keepLines/>
        <w:shd w:val="clear" w:color="auto" w:fill="auto"/>
        <w:spacing w:before="0" w:after="120" w:line="260" w:lineRule="atLeast"/>
        <w:ind w:left="4248" w:right="-6" w:firstLine="708"/>
      </w:pPr>
      <w:r>
        <w:t>zainteresowani wykonawcy</w:t>
      </w:r>
    </w:p>
    <w:p w:rsidR="001D0E78" w:rsidRDefault="001D0E78" w:rsidP="0096652C">
      <w:pPr>
        <w:pStyle w:val="Heading10"/>
        <w:keepNext/>
        <w:keepLines/>
        <w:shd w:val="clear" w:color="auto" w:fill="auto"/>
        <w:spacing w:before="0" w:after="120" w:line="260" w:lineRule="atLeast"/>
        <w:ind w:left="3540" w:right="-6" w:firstLine="708"/>
      </w:pPr>
    </w:p>
    <w:p w:rsidR="007D5675" w:rsidRDefault="00C76544" w:rsidP="0096652C">
      <w:pPr>
        <w:pStyle w:val="Bodytext50"/>
        <w:shd w:val="clear" w:color="auto" w:fill="auto"/>
        <w:spacing w:before="0" w:after="120" w:line="260" w:lineRule="atLeast"/>
        <w:ind w:right="-6"/>
      </w:pPr>
      <w:r w:rsidRPr="001133A7">
        <w:rPr>
          <w:rStyle w:val="Bodytext51"/>
          <w:b/>
          <w:bCs/>
          <w:i/>
          <w:iCs/>
          <w:lang w:eastAsia="en-US" w:bidi="en-US"/>
        </w:rPr>
        <w:t xml:space="preserve">dot.: </w:t>
      </w:r>
      <w:r>
        <w:rPr>
          <w:rStyle w:val="Bodytext51"/>
          <w:b/>
          <w:bCs/>
          <w:i/>
          <w:iCs/>
        </w:rPr>
        <w:t>przetargu nieograniczonego nr 167/PN-25/2018 p.n. „Inteligentny system zarządzania siecią</w:t>
      </w:r>
      <w:r>
        <w:rPr>
          <w:rStyle w:val="Bodytext54ptNotBoldNotItalic"/>
        </w:rPr>
        <w:t xml:space="preserve"> </w:t>
      </w:r>
      <w:r w:rsidR="001D0E78">
        <w:rPr>
          <w:rStyle w:val="Bodytext54ptNotBoldNotItalic"/>
        </w:rPr>
        <w:t>–</w:t>
      </w:r>
      <w:r>
        <w:rPr>
          <w:rStyle w:val="Bodytext54ptNotBoldNotItalic"/>
        </w:rPr>
        <w:t xml:space="preserve"> </w:t>
      </w:r>
      <w:r>
        <w:rPr>
          <w:rStyle w:val="Bodytext51"/>
          <w:b/>
          <w:bCs/>
          <w:i/>
          <w:iCs/>
        </w:rPr>
        <w:t>Rozbudowa i zwiększenie funkcjonalności posiadanych modeli sieci wodociągowej i kanalizacyjnej wraz z integracją z innymi systemami”</w:t>
      </w:r>
    </w:p>
    <w:p w:rsidR="0096652C" w:rsidRDefault="0096652C" w:rsidP="0096652C">
      <w:pPr>
        <w:pStyle w:val="Bodytext20"/>
        <w:shd w:val="clear" w:color="auto" w:fill="auto"/>
        <w:spacing w:before="0" w:after="120" w:line="260" w:lineRule="atLeast"/>
        <w:ind w:right="-6" w:firstLine="568"/>
      </w:pPr>
    </w:p>
    <w:p w:rsidR="007D5675" w:rsidRDefault="00C76544" w:rsidP="0096652C">
      <w:pPr>
        <w:pStyle w:val="Bodytext20"/>
        <w:shd w:val="clear" w:color="auto" w:fill="auto"/>
        <w:spacing w:before="0" w:after="120" w:line="260" w:lineRule="atLeast"/>
        <w:ind w:right="-6" w:firstLine="568"/>
      </w:pPr>
      <w:r>
        <w:t xml:space="preserve">Zamawiający </w:t>
      </w:r>
      <w:r w:rsidR="001D0E78">
        <w:t>–</w:t>
      </w:r>
      <w:r>
        <w:t xml:space="preserve"> Miejskie Przedsiębiorstwo Wodociągów i Kanalizacji </w:t>
      </w:r>
      <w:r w:rsidR="001D0E78">
        <w:t>–</w:t>
      </w:r>
      <w:r>
        <w:t xml:space="preserve"> Spółka Akcyjna, 30-106 Kraków, ul. Senatorska 1, działając na podstawie </w:t>
      </w:r>
      <w:r w:rsidRPr="001133A7">
        <w:rPr>
          <w:lang w:eastAsia="en-US" w:bidi="en-US"/>
        </w:rPr>
        <w:t xml:space="preserve">art. </w:t>
      </w:r>
      <w:r>
        <w:t xml:space="preserve">38 ust. 2 ustawy z dnia 29 stycznia 2004 r. </w:t>
      </w:r>
      <w:r>
        <w:rPr>
          <w:rStyle w:val="Bodytext2Italic"/>
        </w:rPr>
        <w:t>Prawo zamówień publicznych</w:t>
      </w:r>
      <w:r>
        <w:t xml:space="preserve"> (tekst jednolity </w:t>
      </w:r>
      <w:r w:rsidR="001D0E78">
        <w:t>–</w:t>
      </w:r>
      <w:r>
        <w:t xml:space="preserve"> Dz. U. z 2017 r., poz. 1579 z późn. zm.) przekazuje otrzymane od wykonawcy pytanie oraz udzieloną odpowiedź:</w:t>
      </w:r>
    </w:p>
    <w:p w:rsidR="0096652C" w:rsidRDefault="0096652C" w:rsidP="001D0E78">
      <w:pPr>
        <w:pStyle w:val="Bodytext60"/>
        <w:shd w:val="clear" w:color="auto" w:fill="auto"/>
        <w:spacing w:before="0" w:after="120" w:line="260" w:lineRule="atLeast"/>
        <w:rPr>
          <w:rStyle w:val="Bodytext61"/>
          <w:i/>
          <w:iCs/>
        </w:rPr>
      </w:pPr>
    </w:p>
    <w:p w:rsidR="007D5675" w:rsidRDefault="00C76544" w:rsidP="001D0E78">
      <w:pPr>
        <w:pStyle w:val="Bodytext60"/>
        <w:shd w:val="clear" w:color="auto" w:fill="auto"/>
        <w:spacing w:before="0" w:after="120" w:line="260" w:lineRule="atLeast"/>
      </w:pPr>
      <w:r>
        <w:rPr>
          <w:rStyle w:val="Bodytext61"/>
          <w:i/>
          <w:iCs/>
        </w:rPr>
        <w:t>Pytanie 1</w:t>
      </w:r>
      <w:r>
        <w:t>:</w:t>
      </w:r>
    </w:p>
    <w:p w:rsidR="007D5675" w:rsidRDefault="002B5EC3" w:rsidP="001D0E78">
      <w:pPr>
        <w:pStyle w:val="Bodytext20"/>
        <w:shd w:val="clear" w:color="auto" w:fill="auto"/>
        <w:spacing w:before="0" w:after="120" w:line="260" w:lineRule="atLeast"/>
        <w:ind w:right="-6" w:hanging="6"/>
      </w:pPr>
      <w:r w:rsidRPr="002B5EC3">
        <w:t>W odpowiedziach na pytania wykonawców z dnia 07.05.2018r. Zamawiający stwierdza, iż „Zamawiający podtrzymuje zapisy SIWZ oraz Umowy i należy przekazać wszystkie kody źródłowe” (dla całej platformy PWD), pragniemy zauważyć iż wiązałoby się to również z przekazaniem kodów źródłowych do aplikacji wykonujących symulacje modelowe, ich silników numerycznych oraz samych systemów zarządzania danymi, które u wielu dostawców oprogramowania funkcjonują od wielu lat i są dostarczane dla różnych klientów. W praktyce własność intelektualna wielu podmiotów musiałaby zostać przekazana Zamawiającemu. Takie podejście ze strony Zamawiającego zmusza potencjalnych oferentów do wycofania się z postępowania lub założenia konieczności stworzenia wszystkich aplikacji od podstaw i przekazania ich w ręce Zamawiającego. W drugim przypadku wiąże się to ze znacznym zwiększeniem kosztów wdrożenia, który zostanie przeniesiony na Zamawiającego. </w:t>
      </w:r>
      <w:r w:rsidRPr="002B5EC3">
        <w:br/>
        <w:t>Dlatego też wnioskujemy o rewizję stanowiska Zamawiającego w niniejszym obszarze i ograniczenie wymogu przekazywania kodów źródłowych jedynie aplikacji dedykowanych, które powstaną w zakresie niniejszego wdrożenia, z wyłączeniem komponentów, które Wykonawca posiadał, użytkował i wdrażał jeszcze przed rozpoczęciem tego projektu. Z zachowaniem otwartości systemu i gwarancji dalszej, samodzielnej rozbudowy prowadzonej przez Zamawiającego.</w:t>
      </w:r>
    </w:p>
    <w:p w:rsidR="007D5675" w:rsidRDefault="00C76544" w:rsidP="001D0E78">
      <w:pPr>
        <w:pStyle w:val="Heading10"/>
        <w:keepNext/>
        <w:keepLines/>
        <w:shd w:val="clear" w:color="auto" w:fill="auto"/>
        <w:spacing w:before="0" w:after="120" w:line="260" w:lineRule="atLeast"/>
        <w:jc w:val="both"/>
      </w:pPr>
      <w:r>
        <w:rPr>
          <w:rStyle w:val="Heading11"/>
          <w:b/>
          <w:bCs/>
        </w:rPr>
        <w:t>Odpowiedź:</w:t>
      </w:r>
    </w:p>
    <w:p w:rsidR="007D5675" w:rsidRPr="001D0E78" w:rsidRDefault="002B5EC3" w:rsidP="001D0E78">
      <w:pPr>
        <w:pStyle w:val="Bodytext20"/>
        <w:shd w:val="clear" w:color="auto" w:fill="auto"/>
        <w:spacing w:before="0" w:after="120" w:line="260" w:lineRule="atLeast"/>
        <w:ind w:hanging="7"/>
        <w:rPr>
          <w:b/>
        </w:rPr>
      </w:pPr>
      <w:r w:rsidRPr="001D0E78">
        <w:rPr>
          <w:b/>
        </w:rPr>
        <w:t xml:space="preserve">Odpowiedź na pytanie </w:t>
      </w:r>
      <w:r w:rsidR="003304C2" w:rsidRPr="001D0E78">
        <w:rPr>
          <w:b/>
        </w:rPr>
        <w:t xml:space="preserve">15 z dnia 07 maja 2018 r. należy interpretować łącznie </w:t>
      </w:r>
      <w:r w:rsidR="006474E7" w:rsidRPr="001D0E78">
        <w:rPr>
          <w:b/>
        </w:rPr>
        <w:t>z odpowiedzią na pytanie</w:t>
      </w:r>
      <w:r w:rsidR="001D0E78" w:rsidRPr="001D0E78">
        <w:rPr>
          <w:b/>
        </w:rPr>
        <w:t xml:space="preserve"> nr 32 z dnia 02 maja 2018 r.</w:t>
      </w:r>
      <w:r w:rsidR="001D0E78">
        <w:rPr>
          <w:b/>
        </w:rPr>
        <w:t>, w którym Zamawiający stwierdził, że: „Wymóg przekazania kodów źródłowych dotyczy całego oprogramowania dedykowanego.”</w:t>
      </w:r>
      <w:r w:rsidR="001D0E78" w:rsidRPr="001D0E78">
        <w:rPr>
          <w:b/>
        </w:rPr>
        <w:t xml:space="preserve"> oraz zapisami § 9 ust. 20 wzoru umowy, zgodnie z którym</w:t>
      </w:r>
      <w:r w:rsidR="001D0E78">
        <w:rPr>
          <w:b/>
        </w:rPr>
        <w:t>:</w:t>
      </w:r>
      <w:r w:rsidR="001D0E78" w:rsidRPr="001D0E78">
        <w:rPr>
          <w:b/>
        </w:rPr>
        <w:t xml:space="preserve"> „</w:t>
      </w:r>
      <w:r w:rsidR="001D0E78" w:rsidRPr="001D0E78">
        <w:rPr>
          <w:b/>
          <w:szCs w:val="24"/>
        </w:rPr>
        <w:t>Po zakończeniu danego Okresu Stabilizacji Wykonawca przekaże Zamawiającemu kody źródłowe Oprogramowania Dedykowanego wraz z ich dokumentacją, w szczególności dokumentacją kompilacji</w:t>
      </w:r>
      <w:r w:rsidR="00C76544" w:rsidRPr="001D0E78">
        <w:rPr>
          <w:b/>
        </w:rPr>
        <w:t>.</w:t>
      </w:r>
      <w:r w:rsidR="001D0E78" w:rsidRPr="001D0E78">
        <w:rPr>
          <w:b/>
        </w:rPr>
        <w:t>”</w:t>
      </w:r>
      <w:r w:rsidR="001D0E78">
        <w:rPr>
          <w:b/>
        </w:rPr>
        <w:t xml:space="preserve"> Oznacza to, że wymaganie dostarczenia kodów źródłowych </w:t>
      </w:r>
      <w:r w:rsidR="00F81BF0">
        <w:rPr>
          <w:b/>
        </w:rPr>
        <w:t>dotyczy wszystkich postaci O</w:t>
      </w:r>
      <w:r w:rsidR="001D0E78">
        <w:rPr>
          <w:b/>
        </w:rPr>
        <w:t xml:space="preserve">programowania </w:t>
      </w:r>
      <w:r w:rsidR="00F81BF0">
        <w:rPr>
          <w:b/>
        </w:rPr>
        <w:t>D</w:t>
      </w:r>
      <w:r w:rsidR="00A240F3">
        <w:rPr>
          <w:b/>
        </w:rPr>
        <w:t xml:space="preserve">edykowanego (w rozumieniu umowy) </w:t>
      </w:r>
      <w:r w:rsidR="001D0E78">
        <w:rPr>
          <w:b/>
        </w:rPr>
        <w:t xml:space="preserve"> i nie </w:t>
      </w:r>
      <w:r w:rsidR="00A240F3">
        <w:rPr>
          <w:b/>
        </w:rPr>
        <w:t>obejmuj</w:t>
      </w:r>
      <w:r w:rsidR="001D0E78">
        <w:rPr>
          <w:b/>
        </w:rPr>
        <w:t>e</w:t>
      </w:r>
      <w:r w:rsidR="00F81BF0">
        <w:rPr>
          <w:b/>
        </w:rPr>
        <w:t xml:space="preserve"> O</w:t>
      </w:r>
      <w:r w:rsidR="00A240F3">
        <w:rPr>
          <w:b/>
        </w:rPr>
        <w:t xml:space="preserve">programowania COTS. </w:t>
      </w:r>
    </w:p>
    <w:p w:rsidR="007D5675" w:rsidRDefault="00C76544" w:rsidP="001D0E78">
      <w:pPr>
        <w:pStyle w:val="Bodytext60"/>
        <w:shd w:val="clear" w:color="auto" w:fill="auto"/>
        <w:spacing w:before="0" w:after="120" w:line="260" w:lineRule="atLeast"/>
      </w:pPr>
      <w:r>
        <w:rPr>
          <w:rStyle w:val="Bodytext61"/>
          <w:i/>
          <w:iCs/>
        </w:rPr>
        <w:t>Pytanie 2</w:t>
      </w:r>
      <w:r>
        <w:t>:</w:t>
      </w:r>
    </w:p>
    <w:p w:rsidR="0096652C" w:rsidRPr="00C44547" w:rsidRDefault="00097DB9" w:rsidP="00C44547">
      <w:pPr>
        <w:pStyle w:val="Bodytext20"/>
        <w:shd w:val="clear" w:color="auto" w:fill="auto"/>
        <w:spacing w:before="0" w:after="120" w:line="260" w:lineRule="atLeast"/>
        <w:ind w:right="-6" w:firstLine="0"/>
        <w:rPr>
          <w:rStyle w:val="Heading11"/>
          <w:b w:val="0"/>
          <w:bCs w:val="0"/>
          <w:u w:val="none"/>
        </w:rPr>
      </w:pPr>
      <w:r w:rsidRPr="00097DB9">
        <w:t>W odpowiedziach na pytania wykonawców z dnia 02.05.2</w:t>
      </w:r>
      <w:r>
        <w:t xml:space="preserve">018r. Zamawiający stwierdza, iż </w:t>
      </w:r>
      <w:r w:rsidRPr="00097DB9">
        <w:t xml:space="preserve">„Zamawiający może udzielać sublicencji na rzecz innych podmiotów (…) dotyczy to każdego oprogramowania” pragniemy zauważyć, iż zgodnie z polityką licencyjną wielu dostawców oprogramowania standardowego udzielanie sublicencji jest niedozwolone. Dotyczy to również dostawców oprogramowania standardowego, które jest obecnie w posiadaniu Zamawiającego i które należy rozszerzyć lub zaktualizować w ramach niniejszego projektu.  Takie podejście Zamawiającego powoduje, iż część z prac jest w praktyce niemożliwa do zrealizowania. Z uwagi na powyższe wnosimy o zastąpienie tego wymogu  prawem do udzielenia sublicencji jedynie dla oprogramowania </w:t>
      </w:r>
      <w:r w:rsidRPr="00097DB9">
        <w:lastRenderedPageBreak/>
        <w:t xml:space="preserve">dedykowanego, wytworzonego w ramach </w:t>
      </w:r>
      <w:r>
        <w:t>realizacji niniejszego projektu</w:t>
      </w:r>
      <w:r w:rsidR="00C76544">
        <w:t>?</w:t>
      </w:r>
    </w:p>
    <w:p w:rsidR="007D5675" w:rsidRDefault="00C76544" w:rsidP="001D0E78">
      <w:pPr>
        <w:pStyle w:val="Heading10"/>
        <w:keepNext/>
        <w:keepLines/>
        <w:shd w:val="clear" w:color="auto" w:fill="auto"/>
        <w:spacing w:before="0" w:after="120" w:line="260" w:lineRule="atLeast"/>
        <w:jc w:val="both"/>
      </w:pPr>
      <w:r>
        <w:rPr>
          <w:rStyle w:val="Heading11"/>
          <w:b/>
          <w:bCs/>
        </w:rPr>
        <w:t>Odpowiedź:</w:t>
      </w:r>
    </w:p>
    <w:p w:rsidR="007D5675" w:rsidRDefault="0096652C" w:rsidP="001D0E78">
      <w:pPr>
        <w:pStyle w:val="Bodytext20"/>
        <w:shd w:val="clear" w:color="auto" w:fill="auto"/>
        <w:spacing w:before="0" w:after="120" w:line="260" w:lineRule="atLeast"/>
        <w:ind w:right="760" w:hanging="7"/>
      </w:pPr>
      <w:r w:rsidRPr="00F81BF0">
        <w:rPr>
          <w:b/>
        </w:rPr>
        <w:t xml:space="preserve">W </w:t>
      </w:r>
      <w:r w:rsidRPr="00862F93">
        <w:rPr>
          <w:b/>
        </w:rPr>
        <w:t>odpowiedzi na pytanie nr 27</w:t>
      </w:r>
      <w:r w:rsidR="00862F93" w:rsidRPr="00862F93">
        <w:rPr>
          <w:b/>
        </w:rPr>
        <w:t xml:space="preserve"> z</w:t>
      </w:r>
      <w:r w:rsidRPr="00862F93">
        <w:rPr>
          <w:b/>
        </w:rPr>
        <w:t xml:space="preserve"> dnia </w:t>
      </w:r>
      <w:r w:rsidRPr="001D0E78">
        <w:rPr>
          <w:b/>
        </w:rPr>
        <w:t>02 maja 2018 r.</w:t>
      </w:r>
      <w:r>
        <w:rPr>
          <w:b/>
        </w:rPr>
        <w:t xml:space="preserve">, w którym Zamawiający stwierdził, że: „Dotyczy to każdego oprogramowania.”, Zamawiający miał na myśli, że wymóg zapewnienia możliwości sublicencjonowania dotyczy </w:t>
      </w:r>
      <w:r w:rsidR="00F81BF0">
        <w:rPr>
          <w:b/>
        </w:rPr>
        <w:t>wszystkich postaci O</w:t>
      </w:r>
      <w:r>
        <w:rPr>
          <w:b/>
        </w:rPr>
        <w:t xml:space="preserve">programowania </w:t>
      </w:r>
      <w:r w:rsidR="00F81BF0">
        <w:rPr>
          <w:b/>
        </w:rPr>
        <w:t>D</w:t>
      </w:r>
      <w:r>
        <w:rPr>
          <w:b/>
        </w:rPr>
        <w:t>edykowanego (w rozumieniu umowy) i nie obejmuje</w:t>
      </w:r>
      <w:r w:rsidR="00F81BF0">
        <w:rPr>
          <w:b/>
        </w:rPr>
        <w:t xml:space="preserve"> O</w:t>
      </w:r>
      <w:r>
        <w:rPr>
          <w:b/>
        </w:rPr>
        <w:t xml:space="preserve">programowania COTS </w:t>
      </w:r>
      <w:r w:rsidR="00C76544">
        <w:t>.</w:t>
      </w:r>
    </w:p>
    <w:p w:rsidR="007D5675" w:rsidRDefault="00C76544" w:rsidP="001D0E78">
      <w:pPr>
        <w:pStyle w:val="Bodytext60"/>
        <w:shd w:val="clear" w:color="auto" w:fill="auto"/>
        <w:spacing w:before="0" w:after="120" w:line="260" w:lineRule="atLeast"/>
      </w:pPr>
      <w:r>
        <w:rPr>
          <w:rStyle w:val="Bodytext61"/>
          <w:i/>
          <w:iCs/>
        </w:rPr>
        <w:t>Pytanie 3</w:t>
      </w:r>
      <w:r>
        <w:t>:</w:t>
      </w:r>
    </w:p>
    <w:p w:rsidR="007D5675" w:rsidRDefault="00C44547" w:rsidP="001D0E78">
      <w:pPr>
        <w:pStyle w:val="Bodytext20"/>
        <w:shd w:val="clear" w:color="auto" w:fill="auto"/>
        <w:spacing w:before="0" w:after="120" w:line="260" w:lineRule="atLeast"/>
        <w:ind w:right="760" w:hanging="7"/>
      </w:pPr>
      <w:r w:rsidRPr="00C44547">
        <w:t xml:space="preserve"> W pkt. 13.3 SIWZ Zamawiający wymaga dołączenia do oferty „Opisu oferowanego systemu odpowiadającego OPZ” – prosimy o określenie jakich dokładnie elementów Zamawiający wymaga w ramach tego opisu oraz czy ten opis będzie jednym z kryteriów wyboru wykonawcy?</w:t>
      </w:r>
    </w:p>
    <w:p w:rsidR="007006C5" w:rsidRDefault="00C76544" w:rsidP="007006C5">
      <w:pPr>
        <w:pStyle w:val="Bodytext60"/>
        <w:shd w:val="clear" w:color="auto" w:fill="auto"/>
        <w:spacing w:before="0" w:after="120" w:line="260" w:lineRule="atLeast"/>
        <w:ind w:right="800" w:firstLine="4"/>
        <w:rPr>
          <w:i w:val="0"/>
        </w:rPr>
      </w:pPr>
      <w:r>
        <w:rPr>
          <w:rStyle w:val="Heading11"/>
        </w:rPr>
        <w:t>Odpowiedź:</w:t>
      </w:r>
      <w:r w:rsidR="007006C5" w:rsidRPr="007006C5">
        <w:rPr>
          <w:i w:val="0"/>
        </w:rPr>
        <w:t xml:space="preserve"> </w:t>
      </w:r>
    </w:p>
    <w:p w:rsidR="007006C5" w:rsidRPr="007006C5" w:rsidRDefault="007006C5" w:rsidP="007006C5">
      <w:pPr>
        <w:pStyle w:val="Bodytext60"/>
        <w:shd w:val="clear" w:color="auto" w:fill="auto"/>
        <w:spacing w:before="0" w:after="120" w:line="260" w:lineRule="atLeast"/>
        <w:ind w:right="800" w:firstLine="4"/>
        <w:rPr>
          <w:i w:val="0"/>
        </w:rPr>
      </w:pPr>
      <w:r w:rsidRPr="007006C5">
        <w:rPr>
          <w:i w:val="0"/>
        </w:rPr>
        <w:t>Zamawiający wymaga przedstawienie opisu oferowanego systemu.</w:t>
      </w:r>
    </w:p>
    <w:p w:rsidR="00C44547" w:rsidRDefault="00C44547" w:rsidP="00C44547">
      <w:pPr>
        <w:pStyle w:val="Bodytext60"/>
        <w:shd w:val="clear" w:color="auto" w:fill="auto"/>
        <w:spacing w:before="0" w:after="120" w:line="260" w:lineRule="atLeast"/>
      </w:pPr>
      <w:r>
        <w:rPr>
          <w:rStyle w:val="Bodytext61"/>
          <w:i/>
          <w:iCs/>
        </w:rPr>
        <w:t xml:space="preserve">Pytanie </w:t>
      </w:r>
      <w:r w:rsidR="007006C5">
        <w:rPr>
          <w:rStyle w:val="Bodytext61"/>
          <w:i/>
          <w:iCs/>
        </w:rPr>
        <w:t>4</w:t>
      </w:r>
      <w:r>
        <w:t>:</w:t>
      </w:r>
    </w:p>
    <w:p w:rsidR="00C44547" w:rsidRDefault="00C44547" w:rsidP="00C44547">
      <w:pPr>
        <w:pStyle w:val="Bodytext20"/>
        <w:shd w:val="clear" w:color="auto" w:fill="auto"/>
        <w:spacing w:before="0" w:after="120" w:line="260" w:lineRule="atLeast"/>
        <w:ind w:right="760" w:hanging="7"/>
      </w:pPr>
      <w:r w:rsidRPr="00C44547">
        <w:t xml:space="preserve"> W związku ze zmieniającymi się wymaganiami Zamawiającego odnośnie zakresu projektu oraz architektury systemu, który ma być finalnie dostarczony, wnioskujemy o zmianę terminu składania ofert z dnia 30 maja 2018r., godzina 12.00 na dzień 20 czerwca 2018r., godzina </w:t>
      </w:r>
      <w:r w:rsidR="006A30BF">
        <w:t>.</w:t>
      </w:r>
      <w:r w:rsidRPr="00C44547">
        <w:t>przygotowanie oferty, odpowiadającej na szczegółowe zapotrzebowanie Zamawiającego.</w:t>
      </w:r>
    </w:p>
    <w:p w:rsidR="00C44547" w:rsidRDefault="00C44547" w:rsidP="00C44547">
      <w:pPr>
        <w:pStyle w:val="Heading10"/>
        <w:keepNext/>
        <w:keepLines/>
        <w:shd w:val="clear" w:color="auto" w:fill="auto"/>
        <w:spacing w:before="0" w:after="120" w:line="260" w:lineRule="atLeast"/>
        <w:ind w:firstLine="4"/>
        <w:jc w:val="both"/>
      </w:pPr>
      <w:r>
        <w:rPr>
          <w:rStyle w:val="Heading11"/>
          <w:b/>
          <w:bCs/>
        </w:rPr>
        <w:t>Odpowiedź:</w:t>
      </w:r>
    </w:p>
    <w:p w:rsidR="00C44547" w:rsidRDefault="00C44547" w:rsidP="00C44547">
      <w:pPr>
        <w:pStyle w:val="Bodytext60"/>
        <w:shd w:val="clear" w:color="auto" w:fill="auto"/>
        <w:spacing w:before="0" w:after="120" w:line="260" w:lineRule="atLeast"/>
        <w:ind w:right="800" w:firstLine="4"/>
      </w:pPr>
      <w:r>
        <w:rPr>
          <w:b/>
          <w:i w:val="0"/>
        </w:rPr>
        <w:t>Zama</w:t>
      </w:r>
      <w:r w:rsidRPr="00C44547">
        <w:rPr>
          <w:b/>
          <w:i w:val="0"/>
        </w:rPr>
        <w:t>w</w:t>
      </w:r>
      <w:r>
        <w:rPr>
          <w:b/>
          <w:i w:val="0"/>
        </w:rPr>
        <w:t>iaj</w:t>
      </w:r>
      <w:r w:rsidRPr="00C44547">
        <w:rPr>
          <w:b/>
          <w:i w:val="0"/>
        </w:rPr>
        <w:t>ąc</w:t>
      </w:r>
      <w:r>
        <w:rPr>
          <w:b/>
          <w:i w:val="0"/>
        </w:rPr>
        <w:t>y</w:t>
      </w:r>
      <w:r w:rsidRPr="00C44547">
        <w:rPr>
          <w:b/>
          <w:i w:val="0"/>
        </w:rPr>
        <w:t xml:space="preserve"> </w:t>
      </w:r>
      <w:r>
        <w:rPr>
          <w:b/>
          <w:i w:val="0"/>
        </w:rPr>
        <w:t>nie modyfikuje terminu składania ofert</w:t>
      </w:r>
      <w:r>
        <w:rPr>
          <w:b/>
        </w:rPr>
        <w:t>.</w:t>
      </w:r>
    </w:p>
    <w:p w:rsidR="00C44547" w:rsidRDefault="00C44547" w:rsidP="00C44547">
      <w:pPr>
        <w:pStyle w:val="Bodytext90"/>
        <w:shd w:val="clear" w:color="auto" w:fill="auto"/>
        <w:spacing w:before="0" w:after="120" w:line="260" w:lineRule="atLeast"/>
        <w:ind w:right="800" w:firstLine="0"/>
      </w:pPr>
    </w:p>
    <w:p w:rsidR="00FF2870" w:rsidRPr="007006C5" w:rsidRDefault="007D6D4C" w:rsidP="00426FA9">
      <w:pPr>
        <w:pStyle w:val="Bodytext60"/>
        <w:shd w:val="clear" w:color="auto" w:fill="auto"/>
        <w:spacing w:before="0" w:after="120" w:line="260" w:lineRule="atLeast"/>
        <w:ind w:right="800" w:firstLine="4"/>
        <w:rPr>
          <w:b/>
          <w:i w:val="0"/>
          <w:color w:val="auto"/>
        </w:rPr>
      </w:pPr>
      <w:r w:rsidRPr="007006C5">
        <w:rPr>
          <w:b/>
          <w:i w:val="0"/>
          <w:color w:val="auto"/>
        </w:rPr>
        <w:t>Jednocześnie</w:t>
      </w:r>
      <w:r w:rsidR="00FF2870" w:rsidRPr="007006C5">
        <w:rPr>
          <w:b/>
          <w:i w:val="0"/>
          <w:color w:val="auto"/>
        </w:rPr>
        <w:t>:</w:t>
      </w:r>
      <w:r w:rsidRPr="007006C5">
        <w:rPr>
          <w:b/>
          <w:i w:val="0"/>
          <w:color w:val="auto"/>
        </w:rPr>
        <w:t xml:space="preserve"> </w:t>
      </w:r>
    </w:p>
    <w:p w:rsidR="00426FA9" w:rsidRPr="007006C5" w:rsidRDefault="007D6D4C" w:rsidP="00FF2870">
      <w:pPr>
        <w:pStyle w:val="Bodytext60"/>
        <w:numPr>
          <w:ilvl w:val="0"/>
          <w:numId w:val="2"/>
        </w:numPr>
        <w:shd w:val="clear" w:color="auto" w:fill="auto"/>
        <w:spacing w:before="0" w:after="120" w:line="260" w:lineRule="atLeast"/>
        <w:ind w:right="800"/>
        <w:rPr>
          <w:b/>
          <w:i w:val="0"/>
          <w:color w:val="auto"/>
        </w:rPr>
      </w:pPr>
      <w:r w:rsidRPr="007006C5">
        <w:rPr>
          <w:b/>
          <w:i w:val="0"/>
          <w:color w:val="auto"/>
        </w:rPr>
        <w:t xml:space="preserve">w uzupełnieniu odpowiedzi na pytanie nr 21 z dnia 02 maja 2018 r. Zamawiający </w:t>
      </w:r>
      <w:r w:rsidR="00E5791E" w:rsidRPr="007006C5">
        <w:rPr>
          <w:b/>
          <w:i w:val="0"/>
          <w:color w:val="auto"/>
        </w:rPr>
        <w:t>wyjaśnia</w:t>
      </w:r>
      <w:r w:rsidRPr="007006C5">
        <w:rPr>
          <w:b/>
          <w:i w:val="0"/>
          <w:color w:val="auto"/>
        </w:rPr>
        <w:t xml:space="preserve">, że </w:t>
      </w:r>
      <w:r w:rsidR="00E5791E" w:rsidRPr="007006C5">
        <w:rPr>
          <w:b/>
          <w:i w:val="0"/>
          <w:color w:val="auto"/>
        </w:rPr>
        <w:t xml:space="preserve">przez harmonogram prac należy rozumieć zarówno Harmonogram ramowy jak i pozostałe harmonogramy wskazane w OPZ, przy czym </w:t>
      </w:r>
      <w:r w:rsidR="0027670B" w:rsidRPr="007006C5">
        <w:rPr>
          <w:b/>
          <w:i w:val="0"/>
          <w:color w:val="auto"/>
        </w:rPr>
        <w:t>jeśli chodzi o zmianę</w:t>
      </w:r>
      <w:r w:rsidR="00E5791E" w:rsidRPr="007006C5">
        <w:rPr>
          <w:b/>
          <w:i w:val="0"/>
          <w:color w:val="auto"/>
        </w:rPr>
        <w:t xml:space="preserve"> tych harmonogramów </w:t>
      </w:r>
      <w:r w:rsidR="0027670B" w:rsidRPr="007006C5">
        <w:rPr>
          <w:b/>
          <w:i w:val="0"/>
          <w:color w:val="auto"/>
        </w:rPr>
        <w:t>obowiązują następujące zasady:</w:t>
      </w:r>
    </w:p>
    <w:p w:rsidR="00426FA9" w:rsidRPr="007006C5" w:rsidRDefault="00426FA9" w:rsidP="00426FA9">
      <w:pPr>
        <w:pStyle w:val="Bodytext60"/>
        <w:numPr>
          <w:ilvl w:val="0"/>
          <w:numId w:val="1"/>
        </w:numPr>
        <w:shd w:val="clear" w:color="auto" w:fill="auto"/>
        <w:spacing w:before="0" w:after="120" w:line="260" w:lineRule="atLeast"/>
        <w:ind w:right="800"/>
        <w:rPr>
          <w:b/>
          <w:i w:val="0"/>
          <w:color w:val="auto"/>
        </w:rPr>
      </w:pPr>
      <w:r w:rsidRPr="007006C5">
        <w:rPr>
          <w:b/>
          <w:i w:val="0"/>
          <w:color w:val="auto"/>
        </w:rPr>
        <w:t>Zmiana Harmonogramu stanowiącego załącznik nr 2. do umowy jest dopuszczalna wyłącznie poprzez istotną zmianę umowy.</w:t>
      </w:r>
    </w:p>
    <w:p w:rsidR="00426FA9" w:rsidRPr="007006C5" w:rsidRDefault="00426FA9" w:rsidP="00426FA9">
      <w:pPr>
        <w:pStyle w:val="Bodytext60"/>
        <w:numPr>
          <w:ilvl w:val="0"/>
          <w:numId w:val="1"/>
        </w:numPr>
        <w:shd w:val="clear" w:color="auto" w:fill="auto"/>
        <w:spacing w:before="0" w:after="120" w:line="260" w:lineRule="atLeast"/>
        <w:ind w:right="800"/>
        <w:rPr>
          <w:b/>
          <w:i w:val="0"/>
          <w:color w:val="auto"/>
        </w:rPr>
      </w:pPr>
      <w:r w:rsidRPr="007006C5">
        <w:rPr>
          <w:b/>
          <w:i w:val="0"/>
          <w:color w:val="auto"/>
        </w:rPr>
        <w:t>Harmonogram Ramowy, który stanowi operacyjne doszczegółowienie Harmonogramu, rozpisujące czas realizacji umowy na poszczególne prace, nie może modyfikować Harmonogramu ani przesuwać prac (świadczeń) między Zadaniami czy terminami, a Kierownicy Projektu aktualizują Harmonogram Ramowy w zakresie dat względnych Harmonogramu Ramowego, tj. dat nie wskazanych w Harmonogramie. Zmiana Harmonogramu Ramowego w granicach nie wykraczających poza dopuszczalne wyżej zmiany nie stanowi zmiany umowy.</w:t>
      </w:r>
    </w:p>
    <w:p w:rsidR="00426FA9" w:rsidRPr="007006C5" w:rsidRDefault="00426FA9" w:rsidP="00426FA9">
      <w:pPr>
        <w:pStyle w:val="Bodytext60"/>
        <w:numPr>
          <w:ilvl w:val="0"/>
          <w:numId w:val="1"/>
        </w:numPr>
        <w:shd w:val="clear" w:color="auto" w:fill="auto"/>
        <w:spacing w:before="0" w:after="120" w:line="260" w:lineRule="atLeast"/>
        <w:ind w:right="800"/>
        <w:rPr>
          <w:b/>
          <w:i w:val="0"/>
          <w:color w:val="auto"/>
        </w:rPr>
      </w:pPr>
      <w:r w:rsidRPr="007006C5">
        <w:rPr>
          <w:b/>
          <w:i w:val="0"/>
          <w:color w:val="auto"/>
        </w:rPr>
        <w:t>Zmiana pozostałych harmonogramów jest dopuszczalna jako nieistotna zmiana umowy, o ile zmiana ta nie prowadzić do zmian dat wskazanych w Harmonogramie. W przeciwnym wypadku zmiana taka stanowi istotną zmianę umowy.</w:t>
      </w:r>
    </w:p>
    <w:p w:rsidR="007D6D4C" w:rsidRPr="007006C5" w:rsidRDefault="00FF2870" w:rsidP="00FF2870">
      <w:pPr>
        <w:pStyle w:val="Bodytext90"/>
        <w:numPr>
          <w:ilvl w:val="0"/>
          <w:numId w:val="2"/>
        </w:numPr>
        <w:shd w:val="clear" w:color="auto" w:fill="auto"/>
        <w:spacing w:before="0" w:after="120" w:line="260" w:lineRule="atLeast"/>
        <w:ind w:right="800"/>
        <w:jc w:val="both"/>
        <w:rPr>
          <w:color w:val="auto"/>
        </w:rPr>
      </w:pPr>
      <w:r w:rsidRPr="007006C5">
        <w:rPr>
          <w:color w:val="auto"/>
        </w:rPr>
        <w:t xml:space="preserve">Zamawiający modyfikuje formularz oferty wprowadzając do niego dodatkowy załącznik o numerze </w:t>
      </w:r>
      <w:r w:rsidR="001133A7" w:rsidRPr="007006C5">
        <w:rPr>
          <w:color w:val="auto"/>
        </w:rPr>
        <w:t>5</w:t>
      </w:r>
      <w:r w:rsidRPr="007006C5">
        <w:rPr>
          <w:color w:val="auto"/>
        </w:rPr>
        <w:t xml:space="preserve"> pt. </w:t>
      </w:r>
      <w:r w:rsidR="00CF2DE0" w:rsidRPr="007006C5">
        <w:rPr>
          <w:color w:val="auto"/>
        </w:rPr>
        <w:t>„</w:t>
      </w:r>
      <w:r w:rsidRPr="007006C5">
        <w:rPr>
          <w:color w:val="auto"/>
        </w:rPr>
        <w:t>Wykaz Oprogramowania Dedykowanego i Oprogramowania COTS</w:t>
      </w:r>
      <w:r w:rsidR="00CF2DE0" w:rsidRPr="007006C5">
        <w:rPr>
          <w:color w:val="auto"/>
        </w:rPr>
        <w:t>” zgodny z poniższym  wzorem:</w:t>
      </w:r>
    </w:p>
    <w:p w:rsidR="00CF2DE0" w:rsidRPr="007006C5" w:rsidRDefault="00CF2DE0" w:rsidP="00CF2DE0">
      <w:pPr>
        <w:pStyle w:val="Bodytext90"/>
        <w:shd w:val="clear" w:color="auto" w:fill="auto"/>
        <w:spacing w:before="0" w:after="120" w:line="260" w:lineRule="atLeast"/>
        <w:ind w:left="4" w:right="800" w:firstLine="0"/>
        <w:jc w:val="both"/>
        <w:rPr>
          <w:color w:val="auto"/>
        </w:rPr>
      </w:pPr>
    </w:p>
    <w:p w:rsidR="00CF2DE0" w:rsidRPr="007006C5" w:rsidRDefault="00CF2DE0" w:rsidP="00CF2DE0">
      <w:pPr>
        <w:pStyle w:val="Bodytext90"/>
        <w:shd w:val="clear" w:color="auto" w:fill="auto"/>
        <w:spacing w:before="0" w:after="120" w:line="260" w:lineRule="atLeast"/>
        <w:ind w:left="4" w:right="800" w:firstLine="0"/>
        <w:jc w:val="right"/>
        <w:rPr>
          <w:color w:val="auto"/>
        </w:rPr>
      </w:pPr>
      <w:r w:rsidRPr="007006C5">
        <w:rPr>
          <w:color w:val="auto"/>
        </w:rPr>
        <w:t xml:space="preserve">Załącznik nr </w:t>
      </w:r>
      <w:r w:rsidR="001133A7" w:rsidRPr="007006C5">
        <w:rPr>
          <w:color w:val="auto"/>
        </w:rPr>
        <w:t>5</w:t>
      </w:r>
    </w:p>
    <w:p w:rsidR="00CF2DE0" w:rsidRPr="007006C5" w:rsidRDefault="00CF2DE0" w:rsidP="00CF2DE0">
      <w:pPr>
        <w:pStyle w:val="Bodytext90"/>
        <w:shd w:val="clear" w:color="auto" w:fill="auto"/>
        <w:spacing w:before="0" w:after="120" w:line="260" w:lineRule="atLeast"/>
        <w:ind w:left="4" w:right="800" w:firstLine="0"/>
        <w:jc w:val="center"/>
        <w:rPr>
          <w:color w:val="auto"/>
        </w:rPr>
      </w:pPr>
      <w:r w:rsidRPr="007006C5">
        <w:rPr>
          <w:color w:val="auto"/>
        </w:rPr>
        <w:lastRenderedPageBreak/>
        <w:t>Wykaz Oprogramowania Dedykowanego i Oprogramowania COTS</w:t>
      </w:r>
    </w:p>
    <w:p w:rsidR="00CF2DE0" w:rsidRPr="007006C5" w:rsidRDefault="00CF2DE0" w:rsidP="00CF2DE0">
      <w:pPr>
        <w:pStyle w:val="Bodytext90"/>
        <w:shd w:val="clear" w:color="auto" w:fill="auto"/>
        <w:spacing w:before="0" w:after="120" w:line="260" w:lineRule="atLeast"/>
        <w:ind w:left="4" w:right="800" w:firstLine="0"/>
        <w:jc w:val="center"/>
        <w:rPr>
          <w:color w:val="auto"/>
        </w:rPr>
      </w:pPr>
    </w:p>
    <w:p w:rsidR="00CF2DE0" w:rsidRPr="007006C5" w:rsidRDefault="00CF2DE0" w:rsidP="00CF2DE0">
      <w:pPr>
        <w:pStyle w:val="Bodytext90"/>
        <w:shd w:val="clear" w:color="auto" w:fill="auto"/>
        <w:spacing w:before="0" w:after="120" w:line="260" w:lineRule="atLeast"/>
        <w:ind w:left="4" w:right="800" w:firstLine="0"/>
        <w:jc w:val="both"/>
        <w:rPr>
          <w:color w:val="auto"/>
        </w:rPr>
      </w:pPr>
      <w:r w:rsidRPr="007006C5">
        <w:rPr>
          <w:color w:val="auto"/>
        </w:rPr>
        <w:t xml:space="preserve">I. Wykaz Oprogramowania Dedykowanego. </w:t>
      </w:r>
    </w:p>
    <w:tbl>
      <w:tblPr>
        <w:tblStyle w:val="Tabela-Siatka"/>
        <w:tblW w:w="0" w:type="auto"/>
        <w:tblInd w:w="4" w:type="dxa"/>
        <w:tblLook w:val="04A0" w:firstRow="1" w:lastRow="0" w:firstColumn="1" w:lastColumn="0" w:noHBand="0" w:noVBand="1"/>
      </w:tblPr>
      <w:tblGrid>
        <w:gridCol w:w="2273"/>
        <w:gridCol w:w="2248"/>
        <w:gridCol w:w="2258"/>
        <w:gridCol w:w="2273"/>
      </w:tblGrid>
      <w:tr w:rsidR="007006C5" w:rsidRPr="007006C5" w:rsidTr="00CF2DE0">
        <w:tc>
          <w:tcPr>
            <w:tcW w:w="2301" w:type="dxa"/>
          </w:tcPr>
          <w:p w:rsidR="00CF2DE0" w:rsidRPr="007006C5" w:rsidRDefault="00CF2DE0" w:rsidP="00CF2DE0">
            <w:pPr>
              <w:pStyle w:val="Bodytext90"/>
              <w:shd w:val="clear" w:color="auto" w:fill="auto"/>
              <w:adjustRightInd w:val="0"/>
              <w:spacing w:before="0"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7006C5">
              <w:rPr>
                <w:color w:val="auto"/>
                <w:sz w:val="16"/>
                <w:szCs w:val="16"/>
              </w:rPr>
              <w:t xml:space="preserve">Nazwa Oprogramowania </w:t>
            </w:r>
          </w:p>
        </w:tc>
        <w:tc>
          <w:tcPr>
            <w:tcW w:w="2301" w:type="dxa"/>
          </w:tcPr>
          <w:p w:rsidR="00CF2DE0" w:rsidRPr="007006C5" w:rsidRDefault="00CF2DE0" w:rsidP="00CF2DE0">
            <w:pPr>
              <w:pStyle w:val="Bodytext90"/>
              <w:shd w:val="clear" w:color="auto" w:fill="auto"/>
              <w:adjustRightInd w:val="0"/>
              <w:spacing w:before="0"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7006C5">
              <w:rPr>
                <w:color w:val="auto"/>
                <w:sz w:val="16"/>
                <w:szCs w:val="16"/>
              </w:rPr>
              <w:t>wersja</w:t>
            </w:r>
          </w:p>
        </w:tc>
        <w:tc>
          <w:tcPr>
            <w:tcW w:w="2302" w:type="dxa"/>
          </w:tcPr>
          <w:p w:rsidR="00CF2DE0" w:rsidRPr="007006C5" w:rsidRDefault="00CF2DE0" w:rsidP="00CF2DE0">
            <w:pPr>
              <w:pStyle w:val="Bodytext90"/>
              <w:shd w:val="clear" w:color="auto" w:fill="auto"/>
              <w:adjustRightInd w:val="0"/>
              <w:spacing w:before="0"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7006C5">
              <w:rPr>
                <w:color w:val="auto"/>
                <w:sz w:val="16"/>
                <w:szCs w:val="16"/>
              </w:rPr>
              <w:t xml:space="preserve">Producent </w:t>
            </w:r>
          </w:p>
        </w:tc>
        <w:tc>
          <w:tcPr>
            <w:tcW w:w="2302" w:type="dxa"/>
          </w:tcPr>
          <w:p w:rsidR="00CF2DE0" w:rsidRPr="007006C5" w:rsidRDefault="00CF2DE0" w:rsidP="00CF2DE0">
            <w:pPr>
              <w:pStyle w:val="Bodytext90"/>
              <w:shd w:val="clear" w:color="auto" w:fill="auto"/>
              <w:adjustRightInd w:val="0"/>
              <w:spacing w:before="0"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7006C5">
              <w:rPr>
                <w:color w:val="auto"/>
                <w:sz w:val="16"/>
                <w:szCs w:val="16"/>
              </w:rPr>
              <w:t>Przeznaczenie oprogramowania</w:t>
            </w:r>
          </w:p>
        </w:tc>
      </w:tr>
      <w:tr w:rsidR="007006C5" w:rsidRPr="007006C5" w:rsidTr="00CF2DE0">
        <w:tc>
          <w:tcPr>
            <w:tcW w:w="2301" w:type="dxa"/>
          </w:tcPr>
          <w:p w:rsidR="00CF2DE0" w:rsidRPr="007006C5" w:rsidRDefault="00CF2DE0" w:rsidP="00CF2DE0">
            <w:pPr>
              <w:pStyle w:val="Bodytext90"/>
              <w:shd w:val="clear" w:color="auto" w:fill="auto"/>
              <w:adjustRightInd w:val="0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301" w:type="dxa"/>
          </w:tcPr>
          <w:p w:rsidR="00CF2DE0" w:rsidRPr="007006C5" w:rsidRDefault="00CF2DE0" w:rsidP="00CF2DE0">
            <w:pPr>
              <w:pStyle w:val="Bodytext90"/>
              <w:shd w:val="clear" w:color="auto" w:fill="auto"/>
              <w:adjustRightInd w:val="0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302" w:type="dxa"/>
          </w:tcPr>
          <w:p w:rsidR="00CF2DE0" w:rsidRPr="007006C5" w:rsidRDefault="00CF2DE0" w:rsidP="00CF2DE0">
            <w:pPr>
              <w:pStyle w:val="Bodytext90"/>
              <w:shd w:val="clear" w:color="auto" w:fill="auto"/>
              <w:adjustRightInd w:val="0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302" w:type="dxa"/>
          </w:tcPr>
          <w:p w:rsidR="00CF2DE0" w:rsidRPr="007006C5" w:rsidRDefault="00CF2DE0" w:rsidP="00CF2DE0">
            <w:pPr>
              <w:pStyle w:val="Bodytext90"/>
              <w:shd w:val="clear" w:color="auto" w:fill="auto"/>
              <w:adjustRightInd w:val="0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00E15F63" w:rsidRPr="007006C5" w:rsidTr="00CF2DE0">
        <w:tc>
          <w:tcPr>
            <w:tcW w:w="2301" w:type="dxa"/>
          </w:tcPr>
          <w:p w:rsidR="00CF2DE0" w:rsidRPr="007006C5" w:rsidRDefault="00CF2DE0" w:rsidP="00CF2DE0">
            <w:pPr>
              <w:pStyle w:val="Bodytext90"/>
              <w:shd w:val="clear" w:color="auto" w:fill="auto"/>
              <w:adjustRightInd w:val="0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301" w:type="dxa"/>
          </w:tcPr>
          <w:p w:rsidR="00CF2DE0" w:rsidRPr="007006C5" w:rsidRDefault="00CF2DE0" w:rsidP="00CF2DE0">
            <w:pPr>
              <w:pStyle w:val="Bodytext90"/>
              <w:shd w:val="clear" w:color="auto" w:fill="auto"/>
              <w:adjustRightInd w:val="0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302" w:type="dxa"/>
          </w:tcPr>
          <w:p w:rsidR="00CF2DE0" w:rsidRPr="007006C5" w:rsidRDefault="00CF2DE0" w:rsidP="00CF2DE0">
            <w:pPr>
              <w:pStyle w:val="Bodytext90"/>
              <w:shd w:val="clear" w:color="auto" w:fill="auto"/>
              <w:adjustRightInd w:val="0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302" w:type="dxa"/>
          </w:tcPr>
          <w:p w:rsidR="00CF2DE0" w:rsidRPr="007006C5" w:rsidRDefault="00CF2DE0" w:rsidP="00CF2DE0">
            <w:pPr>
              <w:pStyle w:val="Bodytext90"/>
              <w:shd w:val="clear" w:color="auto" w:fill="auto"/>
              <w:adjustRightInd w:val="0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</w:tr>
    </w:tbl>
    <w:p w:rsidR="00CF2DE0" w:rsidRPr="007006C5" w:rsidRDefault="00CF2DE0" w:rsidP="00CF2DE0">
      <w:pPr>
        <w:pStyle w:val="Bodytext90"/>
        <w:shd w:val="clear" w:color="auto" w:fill="auto"/>
        <w:adjustRightInd w:val="0"/>
        <w:spacing w:before="0" w:after="0" w:line="240" w:lineRule="auto"/>
        <w:ind w:firstLine="0"/>
        <w:jc w:val="center"/>
        <w:rPr>
          <w:color w:val="auto"/>
          <w:sz w:val="16"/>
          <w:szCs w:val="16"/>
        </w:rPr>
      </w:pPr>
    </w:p>
    <w:p w:rsidR="00CF2DE0" w:rsidRPr="007006C5" w:rsidRDefault="00CF2DE0" w:rsidP="00CF2DE0">
      <w:pPr>
        <w:pStyle w:val="Bodytext90"/>
        <w:shd w:val="clear" w:color="auto" w:fill="auto"/>
        <w:spacing w:before="0" w:after="120" w:line="260" w:lineRule="atLeast"/>
        <w:ind w:left="4" w:right="800" w:firstLine="0"/>
        <w:jc w:val="both"/>
        <w:rPr>
          <w:color w:val="auto"/>
        </w:rPr>
      </w:pPr>
      <w:r w:rsidRPr="007006C5">
        <w:rPr>
          <w:color w:val="auto"/>
        </w:rPr>
        <w:t xml:space="preserve">II. Wykaz Oprogramowania COTS. </w:t>
      </w:r>
    </w:p>
    <w:tbl>
      <w:tblPr>
        <w:tblStyle w:val="Tabela-Siatka"/>
        <w:tblW w:w="0" w:type="auto"/>
        <w:tblInd w:w="4" w:type="dxa"/>
        <w:tblLook w:val="04A0" w:firstRow="1" w:lastRow="0" w:firstColumn="1" w:lastColumn="0" w:noHBand="0" w:noVBand="1"/>
      </w:tblPr>
      <w:tblGrid>
        <w:gridCol w:w="2273"/>
        <w:gridCol w:w="2248"/>
        <w:gridCol w:w="2258"/>
        <w:gridCol w:w="2273"/>
      </w:tblGrid>
      <w:tr w:rsidR="007006C5" w:rsidRPr="007006C5" w:rsidTr="0059304A">
        <w:tc>
          <w:tcPr>
            <w:tcW w:w="2301" w:type="dxa"/>
          </w:tcPr>
          <w:p w:rsidR="00CF2DE0" w:rsidRPr="007006C5" w:rsidRDefault="00CF2DE0" w:rsidP="0059304A">
            <w:pPr>
              <w:pStyle w:val="Bodytext90"/>
              <w:shd w:val="clear" w:color="auto" w:fill="auto"/>
              <w:adjustRightInd w:val="0"/>
              <w:spacing w:before="0"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7006C5">
              <w:rPr>
                <w:color w:val="auto"/>
                <w:sz w:val="16"/>
                <w:szCs w:val="16"/>
              </w:rPr>
              <w:t xml:space="preserve">Nazwa Oprogramowania </w:t>
            </w:r>
          </w:p>
        </w:tc>
        <w:tc>
          <w:tcPr>
            <w:tcW w:w="2301" w:type="dxa"/>
          </w:tcPr>
          <w:p w:rsidR="00CF2DE0" w:rsidRPr="007006C5" w:rsidRDefault="00CF2DE0" w:rsidP="0059304A">
            <w:pPr>
              <w:pStyle w:val="Bodytext90"/>
              <w:shd w:val="clear" w:color="auto" w:fill="auto"/>
              <w:adjustRightInd w:val="0"/>
              <w:spacing w:before="0"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7006C5">
              <w:rPr>
                <w:color w:val="auto"/>
                <w:sz w:val="16"/>
                <w:szCs w:val="16"/>
              </w:rPr>
              <w:t>wersja</w:t>
            </w:r>
          </w:p>
        </w:tc>
        <w:tc>
          <w:tcPr>
            <w:tcW w:w="2302" w:type="dxa"/>
          </w:tcPr>
          <w:p w:rsidR="00CF2DE0" w:rsidRPr="007006C5" w:rsidRDefault="00CF2DE0" w:rsidP="0059304A">
            <w:pPr>
              <w:pStyle w:val="Bodytext90"/>
              <w:shd w:val="clear" w:color="auto" w:fill="auto"/>
              <w:adjustRightInd w:val="0"/>
              <w:spacing w:before="0"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7006C5">
              <w:rPr>
                <w:color w:val="auto"/>
                <w:sz w:val="16"/>
                <w:szCs w:val="16"/>
              </w:rPr>
              <w:t xml:space="preserve">Producent </w:t>
            </w:r>
          </w:p>
        </w:tc>
        <w:tc>
          <w:tcPr>
            <w:tcW w:w="2302" w:type="dxa"/>
          </w:tcPr>
          <w:p w:rsidR="00CF2DE0" w:rsidRPr="007006C5" w:rsidRDefault="00CF2DE0" w:rsidP="0059304A">
            <w:pPr>
              <w:pStyle w:val="Bodytext90"/>
              <w:shd w:val="clear" w:color="auto" w:fill="auto"/>
              <w:adjustRightInd w:val="0"/>
              <w:spacing w:before="0"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7006C5">
              <w:rPr>
                <w:color w:val="auto"/>
                <w:sz w:val="16"/>
                <w:szCs w:val="16"/>
              </w:rPr>
              <w:t>Przeznaczenie oprogramowania</w:t>
            </w:r>
          </w:p>
        </w:tc>
      </w:tr>
      <w:tr w:rsidR="007006C5" w:rsidRPr="007006C5" w:rsidTr="0059304A">
        <w:tc>
          <w:tcPr>
            <w:tcW w:w="2301" w:type="dxa"/>
          </w:tcPr>
          <w:p w:rsidR="00CF2DE0" w:rsidRPr="007006C5" w:rsidRDefault="00CF2DE0" w:rsidP="0059304A">
            <w:pPr>
              <w:pStyle w:val="Bodytext90"/>
              <w:shd w:val="clear" w:color="auto" w:fill="auto"/>
              <w:adjustRightInd w:val="0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301" w:type="dxa"/>
          </w:tcPr>
          <w:p w:rsidR="00CF2DE0" w:rsidRPr="007006C5" w:rsidRDefault="00CF2DE0" w:rsidP="0059304A">
            <w:pPr>
              <w:pStyle w:val="Bodytext90"/>
              <w:shd w:val="clear" w:color="auto" w:fill="auto"/>
              <w:adjustRightInd w:val="0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302" w:type="dxa"/>
          </w:tcPr>
          <w:p w:rsidR="00CF2DE0" w:rsidRPr="007006C5" w:rsidRDefault="00CF2DE0" w:rsidP="0059304A">
            <w:pPr>
              <w:pStyle w:val="Bodytext90"/>
              <w:shd w:val="clear" w:color="auto" w:fill="auto"/>
              <w:adjustRightInd w:val="0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302" w:type="dxa"/>
          </w:tcPr>
          <w:p w:rsidR="00CF2DE0" w:rsidRPr="007006C5" w:rsidRDefault="00CF2DE0" w:rsidP="0059304A">
            <w:pPr>
              <w:pStyle w:val="Bodytext90"/>
              <w:shd w:val="clear" w:color="auto" w:fill="auto"/>
              <w:adjustRightInd w:val="0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007006C5" w:rsidRPr="007006C5" w:rsidTr="0059304A">
        <w:tc>
          <w:tcPr>
            <w:tcW w:w="2301" w:type="dxa"/>
          </w:tcPr>
          <w:p w:rsidR="00CF2DE0" w:rsidRPr="007006C5" w:rsidRDefault="00CF2DE0" w:rsidP="0059304A">
            <w:pPr>
              <w:pStyle w:val="Bodytext90"/>
              <w:shd w:val="clear" w:color="auto" w:fill="auto"/>
              <w:adjustRightInd w:val="0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301" w:type="dxa"/>
          </w:tcPr>
          <w:p w:rsidR="00CF2DE0" w:rsidRPr="007006C5" w:rsidRDefault="00CF2DE0" w:rsidP="0059304A">
            <w:pPr>
              <w:pStyle w:val="Bodytext90"/>
              <w:shd w:val="clear" w:color="auto" w:fill="auto"/>
              <w:adjustRightInd w:val="0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302" w:type="dxa"/>
          </w:tcPr>
          <w:p w:rsidR="00CF2DE0" w:rsidRPr="007006C5" w:rsidRDefault="00CF2DE0" w:rsidP="0059304A">
            <w:pPr>
              <w:pStyle w:val="Bodytext90"/>
              <w:shd w:val="clear" w:color="auto" w:fill="auto"/>
              <w:adjustRightInd w:val="0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302" w:type="dxa"/>
          </w:tcPr>
          <w:p w:rsidR="00CF2DE0" w:rsidRPr="007006C5" w:rsidRDefault="00CF2DE0" w:rsidP="0059304A">
            <w:pPr>
              <w:pStyle w:val="Bodytext90"/>
              <w:shd w:val="clear" w:color="auto" w:fill="auto"/>
              <w:adjustRightInd w:val="0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</w:tr>
    </w:tbl>
    <w:p w:rsidR="00CF2DE0" w:rsidRPr="007006C5" w:rsidRDefault="008F0382" w:rsidP="008F0382">
      <w:pPr>
        <w:pStyle w:val="Bodytext90"/>
        <w:shd w:val="clear" w:color="auto" w:fill="auto"/>
        <w:adjustRightInd w:val="0"/>
        <w:spacing w:before="0" w:after="0" w:line="240" w:lineRule="auto"/>
        <w:ind w:firstLine="0"/>
        <w:jc w:val="both"/>
        <w:rPr>
          <w:b w:val="0"/>
          <w:color w:val="auto"/>
          <w:sz w:val="16"/>
          <w:szCs w:val="16"/>
        </w:rPr>
      </w:pPr>
      <w:r w:rsidRPr="007006C5">
        <w:rPr>
          <w:color w:val="auto"/>
          <w:sz w:val="16"/>
          <w:szCs w:val="16"/>
        </w:rPr>
        <w:t xml:space="preserve"> </w:t>
      </w:r>
      <w:r w:rsidRPr="007006C5">
        <w:rPr>
          <w:b w:val="0"/>
          <w:color w:val="auto"/>
          <w:sz w:val="16"/>
          <w:szCs w:val="16"/>
        </w:rPr>
        <w:t>Uwaga – wszelkie oprogramowanie nie wskazane w ofercie jako Oprogramowanie COTS stanowi Oprogramowanie Dedykowane</w:t>
      </w:r>
    </w:p>
    <w:p w:rsidR="00CF2DE0" w:rsidRPr="007006C5" w:rsidRDefault="00CF2DE0" w:rsidP="00CF2DE0">
      <w:pPr>
        <w:pStyle w:val="Bodytext90"/>
        <w:shd w:val="clear" w:color="auto" w:fill="auto"/>
        <w:spacing w:before="0" w:after="120" w:line="260" w:lineRule="atLeast"/>
        <w:ind w:left="4" w:right="800" w:firstLine="0"/>
        <w:jc w:val="center"/>
        <w:rPr>
          <w:color w:val="auto"/>
        </w:rPr>
      </w:pPr>
    </w:p>
    <w:p w:rsidR="00CF2DE0" w:rsidRPr="007006C5" w:rsidRDefault="00CF2DE0" w:rsidP="008F0382">
      <w:pPr>
        <w:pStyle w:val="Bodytext90"/>
        <w:shd w:val="clear" w:color="auto" w:fill="auto"/>
        <w:spacing w:before="0" w:after="120" w:line="260" w:lineRule="atLeast"/>
        <w:ind w:right="800"/>
        <w:rPr>
          <w:color w:val="auto"/>
        </w:rPr>
      </w:pPr>
    </w:p>
    <w:p w:rsidR="007D5675" w:rsidRDefault="00C76544" w:rsidP="001D0E78">
      <w:pPr>
        <w:pStyle w:val="Bodytext20"/>
        <w:shd w:val="clear" w:color="auto" w:fill="auto"/>
        <w:spacing w:before="0" w:after="120" w:line="260" w:lineRule="atLeast"/>
        <w:ind w:firstLine="4"/>
      </w:pPr>
      <w:r>
        <w:t>Zamawiający prosi o uwzględnienie powyższych informacji przy opracowywaniu oferty.</w:t>
      </w:r>
    </w:p>
    <w:p w:rsidR="00C44547" w:rsidRDefault="00C44547" w:rsidP="001D0E78">
      <w:pPr>
        <w:pStyle w:val="Bodytext50"/>
        <w:shd w:val="clear" w:color="auto" w:fill="auto"/>
        <w:spacing w:before="0" w:after="120" w:line="260" w:lineRule="atLeast"/>
        <w:ind w:right="180" w:firstLine="0"/>
        <w:jc w:val="center"/>
      </w:pPr>
    </w:p>
    <w:p w:rsidR="00C44547" w:rsidRDefault="00C44547" w:rsidP="001D0E78">
      <w:pPr>
        <w:pStyle w:val="Bodytext50"/>
        <w:shd w:val="clear" w:color="auto" w:fill="auto"/>
        <w:spacing w:before="0" w:after="120" w:line="260" w:lineRule="atLeast"/>
        <w:ind w:right="180" w:firstLine="0"/>
        <w:jc w:val="center"/>
      </w:pPr>
    </w:p>
    <w:p w:rsidR="00C44547" w:rsidRDefault="00C44547" w:rsidP="001D0E78">
      <w:pPr>
        <w:pStyle w:val="Bodytext50"/>
        <w:shd w:val="clear" w:color="auto" w:fill="auto"/>
        <w:spacing w:before="0" w:after="120" w:line="260" w:lineRule="atLeast"/>
        <w:ind w:right="180" w:firstLine="0"/>
        <w:jc w:val="center"/>
      </w:pPr>
    </w:p>
    <w:p w:rsidR="007D5675" w:rsidRDefault="00C76544" w:rsidP="001D0E78">
      <w:pPr>
        <w:pStyle w:val="Bodytext50"/>
        <w:shd w:val="clear" w:color="auto" w:fill="auto"/>
        <w:spacing w:before="0" w:after="120" w:line="260" w:lineRule="atLeast"/>
        <w:ind w:right="180" w:firstLine="0"/>
        <w:jc w:val="center"/>
      </w:pPr>
      <w:r>
        <w:t xml:space="preserve">Zamieszczono na stronie internetowej MPWiK SA: </w:t>
      </w:r>
      <w:hyperlink r:id="rId7" w:history="1">
        <w:r w:rsidRPr="001133A7">
          <w:rPr>
            <w:lang w:eastAsia="en-US" w:bidi="en-US"/>
          </w:rPr>
          <w:t>www.wodociagi.krakow.pl/przetargi</w:t>
        </w:r>
      </w:hyperlink>
    </w:p>
    <w:p w:rsidR="007D5675" w:rsidRDefault="00C76544" w:rsidP="001D0E78">
      <w:pPr>
        <w:pStyle w:val="Bodytext50"/>
        <w:shd w:val="clear" w:color="auto" w:fill="auto"/>
        <w:spacing w:before="0" w:after="120" w:line="260" w:lineRule="atLeast"/>
        <w:ind w:right="180" w:firstLine="0"/>
        <w:jc w:val="center"/>
      </w:pPr>
      <w:r>
        <w:t xml:space="preserve">w dniu </w:t>
      </w:r>
      <w:r w:rsidR="001133A7">
        <w:t xml:space="preserve"> 11 maja</w:t>
      </w:r>
      <w:r>
        <w:t xml:space="preserve"> 2018 r.</w:t>
      </w:r>
    </w:p>
    <w:p w:rsidR="007D5675" w:rsidRDefault="007D5675" w:rsidP="001D0E78">
      <w:pPr>
        <w:pStyle w:val="Bodytext110"/>
        <w:shd w:val="clear" w:color="auto" w:fill="auto"/>
        <w:spacing w:before="0" w:after="120" w:line="260" w:lineRule="atLeast"/>
      </w:pPr>
    </w:p>
    <w:p w:rsidR="00E5791E" w:rsidRDefault="00E5791E" w:rsidP="001D0E78">
      <w:pPr>
        <w:pStyle w:val="Bodytext110"/>
        <w:shd w:val="clear" w:color="auto" w:fill="auto"/>
        <w:spacing w:before="0" w:after="120" w:line="260" w:lineRule="atLeast"/>
      </w:pPr>
    </w:p>
    <w:p w:rsidR="00E5791E" w:rsidRDefault="006A30BF" w:rsidP="001D0E78">
      <w:pPr>
        <w:pStyle w:val="Bodytext110"/>
        <w:shd w:val="clear" w:color="auto" w:fill="auto"/>
        <w:spacing w:before="0" w:after="120" w:line="260" w:lineRule="atLeast"/>
      </w:pPr>
      <w:r>
        <w:t>..</w:t>
      </w:r>
    </w:p>
    <w:p w:rsidR="00E5791E" w:rsidRDefault="00E5791E" w:rsidP="001D0E78">
      <w:pPr>
        <w:pStyle w:val="Bodytext110"/>
        <w:shd w:val="clear" w:color="auto" w:fill="auto"/>
        <w:spacing w:before="0" w:after="120" w:line="260" w:lineRule="atLeast"/>
      </w:pPr>
      <w:bookmarkStart w:id="0" w:name="_GoBack"/>
      <w:bookmarkEnd w:id="0"/>
    </w:p>
    <w:sectPr w:rsidR="00E5791E" w:rsidSect="002F4306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544" w:rsidRDefault="00C76544">
      <w:r>
        <w:separator/>
      </w:r>
    </w:p>
  </w:endnote>
  <w:endnote w:type="continuationSeparator" w:id="0">
    <w:p w:rsidR="00C76544" w:rsidRDefault="00C7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544" w:rsidRDefault="00C76544"/>
  </w:footnote>
  <w:footnote w:type="continuationSeparator" w:id="0">
    <w:p w:rsidR="00C76544" w:rsidRDefault="00C765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DBD"/>
    <w:multiLevelType w:val="hybridMultilevel"/>
    <w:tmpl w:val="A52E6C16"/>
    <w:lvl w:ilvl="0" w:tplc="F4D8BA48">
      <w:start w:val="1"/>
      <w:numFmt w:val="decimal"/>
      <w:lvlText w:val="%1)"/>
      <w:lvlJc w:val="left"/>
      <w:pPr>
        <w:ind w:left="364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 w15:restartNumberingAfterBreak="0">
    <w:nsid w:val="22D916E3"/>
    <w:multiLevelType w:val="hybridMultilevel"/>
    <w:tmpl w:val="6CBCD864"/>
    <w:lvl w:ilvl="0" w:tplc="3208DB14">
      <w:start w:val="1"/>
      <w:numFmt w:val="bullet"/>
      <w:lvlText w:val=""/>
      <w:lvlJc w:val="left"/>
      <w:pPr>
        <w:ind w:left="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08"/>
  <w:hyphenationZone w:val="425"/>
  <w:drawingGridHorizontalSpacing w:val="120"/>
  <w:displayHorizontalDrawingGridEvery w:val="2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75"/>
    <w:rsid w:val="00097DB9"/>
    <w:rsid w:val="001133A7"/>
    <w:rsid w:val="001D0E78"/>
    <w:rsid w:val="0027670B"/>
    <w:rsid w:val="002B5EC3"/>
    <w:rsid w:val="002F4306"/>
    <w:rsid w:val="003304C2"/>
    <w:rsid w:val="00426FA9"/>
    <w:rsid w:val="006474E7"/>
    <w:rsid w:val="00697D47"/>
    <w:rsid w:val="006A30BF"/>
    <w:rsid w:val="007006C5"/>
    <w:rsid w:val="007D5675"/>
    <w:rsid w:val="007D6D4C"/>
    <w:rsid w:val="00862F93"/>
    <w:rsid w:val="008F0382"/>
    <w:rsid w:val="0096652C"/>
    <w:rsid w:val="00A240F3"/>
    <w:rsid w:val="00BB18C8"/>
    <w:rsid w:val="00C44547"/>
    <w:rsid w:val="00C76544"/>
    <w:rsid w:val="00CF2DE0"/>
    <w:rsid w:val="00E15F63"/>
    <w:rsid w:val="00E5791E"/>
    <w:rsid w:val="00F81BF0"/>
    <w:rsid w:val="00FF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8Exact">
    <w:name w:val="Body text (8) Exact"/>
    <w:basedOn w:val="Domylnaczcionkaakapitu"/>
    <w:link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8Exact0">
    <w:name w:val="Body text (8) Exact"/>
    <w:basedOn w:val="Bodytext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6684"/>
      <w:spacing w:val="0"/>
      <w:w w:val="100"/>
      <w:position w:val="0"/>
      <w:sz w:val="30"/>
      <w:szCs w:val="30"/>
      <w:u w:val="single"/>
      <w:lang w:val="pl-PL" w:eastAsia="pl-PL" w:bidi="pl-PL"/>
    </w:rPr>
  </w:style>
  <w:style w:type="character" w:customStyle="1" w:styleId="Bodytext8Exact1">
    <w:name w:val="Body text (8) Exact"/>
    <w:basedOn w:val="Bodytext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6684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Bodytext814ptBoldExact">
    <w:name w:val="Body text (8) + 14 pt;Bold Exact"/>
    <w:basedOn w:val="Bodytext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56684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Bodytext2Exact">
    <w:name w:val="Body text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Exact">
    <w:name w:val="Picture caption Exact"/>
    <w:basedOn w:val="Domylnaczcionkaakapitu"/>
    <w:link w:val="Picturecaption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Picturecaption6ptExact">
    <w:name w:val="Picture caption + 6 pt Exact"/>
    <w:basedOn w:val="Picturecaption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56684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icturecaptionExact0">
    <w:name w:val="Picture caption Exact"/>
    <w:basedOn w:val="Picturecaption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56684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56684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4TimesNewRoman8ptBold">
    <w:name w:val="Body text (4) + Times New Roman;8 pt;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56684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41">
    <w:name w:val="Body text (4)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556684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54ptNotBoldNotItalic">
    <w:name w:val="Body text (5) + 4 pt;Not Bold;Not 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pl-PL" w:eastAsia="pl-PL" w:bidi="pl-PL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8DFF6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9">
    <w:name w:val="Body text (9)_"/>
    <w:basedOn w:val="Domylnaczcionkaakapitu"/>
    <w:link w:val="Bodytext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10">
    <w:name w:val="Body text (10)_"/>
    <w:basedOn w:val="Domylnaczcionkaakapitu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Bodytext1011ptSpacing1pt">
    <w:name w:val="Body text (10) + 11 pt;Spacing 1 pt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101">
    <w:name w:val="Body text (10)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6684"/>
      <w:spacing w:val="10"/>
      <w:w w:val="100"/>
      <w:position w:val="0"/>
      <w:sz w:val="21"/>
      <w:szCs w:val="21"/>
      <w:u w:val="none"/>
    </w:rPr>
  </w:style>
  <w:style w:type="character" w:customStyle="1" w:styleId="Bodytext11">
    <w:name w:val="Body text (11)_"/>
    <w:basedOn w:val="Domylnaczcionkaakapitu"/>
    <w:link w:val="Body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8">
    <w:name w:val="Body text (8)"/>
    <w:basedOn w:val="Normalny"/>
    <w:link w:val="Bodytext8Exact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660" w:after="540" w:line="0" w:lineRule="atLeast"/>
      <w:ind w:hanging="287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icturecaption">
    <w:name w:val="Picture caption"/>
    <w:basedOn w:val="Normalny"/>
    <w:link w:val="Picturecaption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241" w:lineRule="exact"/>
      <w:ind w:firstLine="49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after="660" w:line="241" w:lineRule="exact"/>
      <w:ind w:firstLine="49"/>
      <w:jc w:val="both"/>
    </w:pPr>
    <w:rPr>
      <w:rFonts w:ascii="Arial" w:eastAsia="Arial" w:hAnsi="Arial" w:cs="Arial"/>
      <w:sz w:val="14"/>
      <w:szCs w:val="14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540" w:after="540" w:line="0" w:lineRule="atLeast"/>
      <w:ind w:hanging="7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540" w:after="540" w:line="256" w:lineRule="exact"/>
      <w:ind w:hanging="7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60" w:after="180" w:line="0" w:lineRule="atLeast"/>
      <w:ind w:hanging="7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before="300" w:line="202" w:lineRule="exact"/>
      <w:ind w:firstLine="49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90">
    <w:name w:val="Body text (9)"/>
    <w:basedOn w:val="Normalny"/>
    <w:link w:val="Bodytext9"/>
    <w:pPr>
      <w:shd w:val="clear" w:color="auto" w:fill="FFFFFF"/>
      <w:spacing w:before="420" w:after="300" w:line="378" w:lineRule="exact"/>
      <w:ind w:firstLine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100">
    <w:name w:val="Body text (10)"/>
    <w:basedOn w:val="Normalny"/>
    <w:link w:val="Bodytext10"/>
    <w:pPr>
      <w:shd w:val="clear" w:color="auto" w:fill="FFFFFF"/>
      <w:spacing w:before="300" w:line="198" w:lineRule="exact"/>
      <w:ind w:firstLine="3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Bodytext110">
    <w:name w:val="Body text (11)"/>
    <w:basedOn w:val="Normalny"/>
    <w:link w:val="Bodytext11"/>
    <w:pPr>
      <w:shd w:val="clear" w:color="auto" w:fill="FFFFFF"/>
      <w:spacing w:before="68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6FA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FA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FA9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6FA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6FA9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FA9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FA9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CF2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dociagi.krakow.pl/przetar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943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Wioletta Kubica</dc:creator>
  <cp:keywords/>
  <cp:lastModifiedBy>Ewa Musiał</cp:lastModifiedBy>
  <cp:revision>4</cp:revision>
  <cp:lastPrinted>2018-05-11T10:37:00Z</cp:lastPrinted>
  <dcterms:created xsi:type="dcterms:W3CDTF">2018-05-11T10:39:00Z</dcterms:created>
  <dcterms:modified xsi:type="dcterms:W3CDTF">2018-05-11T10:52:00Z</dcterms:modified>
</cp:coreProperties>
</file>